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D70" w:rsidRDefault="00694219" w:rsidP="00B5380B">
      <w:pPr>
        <w:rPr>
          <w:sz w:val="32"/>
        </w:rPr>
      </w:pPr>
      <w:r w:rsidRPr="00B5380B">
        <w:rPr>
          <w:noProof/>
        </w:rPr>
        <mc:AlternateContent>
          <mc:Choice Requires="wps">
            <w:drawing>
              <wp:anchor distT="0" distB="0" distL="114300" distR="114300" simplePos="0" relativeHeight="251661312" behindDoc="0" locked="0" layoutInCell="1" allowOverlap="1" wp14:anchorId="1B8F57FB" wp14:editId="652EFFBD">
                <wp:simplePos x="0" y="0"/>
                <wp:positionH relativeFrom="column">
                  <wp:posOffset>7162800</wp:posOffset>
                </wp:positionH>
                <wp:positionV relativeFrom="paragraph">
                  <wp:posOffset>0</wp:posOffset>
                </wp:positionV>
                <wp:extent cx="399415" cy="5362575"/>
                <wp:effectExtent l="0" t="0" r="635" b="9525"/>
                <wp:wrapNone/>
                <wp:docPr id="39" name="Zone de text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5362575"/>
                        </a:xfrm>
                        <a:prstGeom prst="rect">
                          <a:avLst/>
                        </a:prstGeom>
                        <a:solidFill>
                          <a:sysClr val="window" lastClr="FFFFFF">
                            <a:lumMod val="90000"/>
                          </a:sysClr>
                        </a:solidFill>
                        <a:ln w="9525">
                          <a:noFill/>
                          <a:miter lim="800000"/>
                          <a:headEnd/>
                          <a:tailEnd/>
                        </a:ln>
                      </wps:spPr>
                      <wps:txbx>
                        <w:txbxContent>
                          <w:p w:rsidR="00C21747" w:rsidRPr="00A33F95" w:rsidRDefault="00C21747" w:rsidP="00694219">
                            <w:pPr>
                              <w:jc w:val="center"/>
                              <w:rPr>
                                <w:color w:val="FFFFFF"/>
                                <w:sz w:val="32"/>
                              </w:rPr>
                            </w:pPr>
                            <w:r>
                              <w:rPr>
                                <w:color w:val="FFFFFF"/>
                                <w:sz w:val="32"/>
                              </w:rPr>
                              <w:t>GUIDES A DESTINATION DES CRO</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8F57FB" id="_x0000_t202" coordsize="21600,21600" o:spt="202" path="m,l,21600r21600,l21600,xe">
                <v:stroke joinstyle="miter"/>
                <v:path gradientshapeok="t" o:connecttype="rect"/>
              </v:shapetype>
              <v:shape id="Zone de texte 39" o:spid="_x0000_s1026" type="#_x0000_t202" style="position:absolute;margin-left:564pt;margin-top:0;width:31.45pt;height:42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" fillcolor="#e5e5e5" stroked="f">
                <v:textbox style="layout-flow:vertical;mso-layout-flow-alt:bottom-to-top">
                  <w:txbxContent>
                    <w:p w:rsidR="00C21747" w:rsidRPr="00A33F95" w:rsidRDefault="00C21747" w:rsidP="00694219">
                      <w:pPr>
                        <w:jc w:val="center"/>
                        <w:rPr>
                          <w:color w:val="FFFFFF"/>
                          <w:sz w:val="32"/>
                        </w:rPr>
                      </w:pPr>
                      <w:r>
                        <w:rPr>
                          <w:color w:val="FFFFFF"/>
                          <w:sz w:val="32"/>
                        </w:rPr>
                        <w:t>GUIDES A DESTINATION DES CRO</w:t>
                      </w:r>
                    </w:p>
                  </w:txbxContent>
                </v:textbox>
              </v:shape>
            </w:pict>
          </mc:Fallback>
        </mc:AlternateContent>
      </w:r>
      <w:r>
        <w:rPr>
          <w:rFonts w:ascii="Trebuchet MS" w:hAnsi="Trebuchet MS"/>
          <w:noProof/>
        </w:rPr>
        <mc:AlternateContent>
          <mc:Choice Requires="wps">
            <w:drawing>
              <wp:anchor distT="0" distB="0" distL="114300" distR="114300" simplePos="0" relativeHeight="251663360" behindDoc="0" locked="0" layoutInCell="1" allowOverlap="1" wp14:anchorId="08F02F65" wp14:editId="0156DE02">
                <wp:simplePos x="0" y="0"/>
                <wp:positionH relativeFrom="column">
                  <wp:posOffset>7162800</wp:posOffset>
                </wp:positionH>
                <wp:positionV relativeFrom="paragraph">
                  <wp:posOffset>0</wp:posOffset>
                </wp:positionV>
                <wp:extent cx="399415" cy="5362575"/>
                <wp:effectExtent l="0" t="0" r="635" b="9525"/>
                <wp:wrapNone/>
                <wp:docPr id="38"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5362575"/>
                        </a:xfrm>
                        <a:prstGeom prst="rect">
                          <a:avLst/>
                        </a:prstGeom>
                        <a:solidFill>
                          <a:sysClr val="window" lastClr="FFFFFF">
                            <a:lumMod val="90000"/>
                          </a:sysClr>
                        </a:solidFill>
                        <a:ln w="9525">
                          <a:noFill/>
                          <a:miter lim="800000"/>
                          <a:headEnd/>
                          <a:tailEnd/>
                        </a:ln>
                      </wps:spPr>
                      <wps:txbx>
                        <w:txbxContent>
                          <w:p w:rsidR="00C21747" w:rsidRPr="00A33F95" w:rsidRDefault="00C21747" w:rsidP="00694219">
                            <w:pPr>
                              <w:jc w:val="center"/>
                              <w:rPr>
                                <w:color w:val="FFFFFF"/>
                                <w:sz w:val="32"/>
                              </w:rPr>
                            </w:pPr>
                            <w:r>
                              <w:rPr>
                                <w:color w:val="FFFFFF"/>
                                <w:sz w:val="32"/>
                              </w:rPr>
                              <w:t>GUIDES A DESTINATION DES CRO</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02F65" id="Zone de texte 38" o:spid="_x0000_s1027" type="#_x0000_t202" style="position:absolute;margin-left:564pt;margin-top:0;width:31.45pt;height:42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" fillcolor="#e5e5e5" stroked="f">
                <v:textbox style="layout-flow:vertical;mso-layout-flow-alt:bottom-to-top">
                  <w:txbxContent>
                    <w:p w:rsidR="00C21747" w:rsidRPr="00A33F95" w:rsidRDefault="00C21747" w:rsidP="00694219">
                      <w:pPr>
                        <w:jc w:val="center"/>
                        <w:rPr>
                          <w:color w:val="FFFFFF"/>
                          <w:sz w:val="32"/>
                        </w:rPr>
                      </w:pPr>
                      <w:r>
                        <w:rPr>
                          <w:color w:val="FFFFFF"/>
                          <w:sz w:val="32"/>
                        </w:rPr>
                        <w:t>GUIDES A DESTINATION DES CRO</w:t>
                      </w:r>
                    </w:p>
                  </w:txbxContent>
                </v:textbox>
              </v:shape>
            </w:pict>
          </mc:Fallback>
        </mc:AlternateContent>
      </w:r>
    </w:p>
    <w:p w:rsidR="00176D70" w:rsidRDefault="00176D70" w:rsidP="00176D70">
      <w:pPr>
        <w:rPr>
          <w:sz w:val="32"/>
        </w:rPr>
      </w:pPr>
    </w:p>
    <w:p w:rsidR="001446EF" w:rsidRPr="001446EF" w:rsidRDefault="001446EF" w:rsidP="001446EF">
      <w:pPr>
        <w:keepNext/>
        <w:shd w:val="clear" w:color="auto" w:fill="DFE0E1"/>
        <w:autoSpaceDE w:val="0"/>
        <w:autoSpaceDN w:val="0"/>
        <w:adjustRightInd w:val="0"/>
        <w:jc w:val="center"/>
        <w:outlineLvl w:val="1"/>
        <w:rPr>
          <w:rFonts w:ascii="Trebuchet MS" w:hAnsi="Trebuchet MS"/>
          <w:b/>
          <w:bCs/>
          <w:iCs/>
          <w:smallCaps/>
          <w:color w:val="C00000"/>
          <w:sz w:val="32"/>
          <w:szCs w:val="28"/>
        </w:rPr>
      </w:pPr>
      <w:bookmarkStart w:id="0" w:name="_Toc375935664"/>
      <w:bookmarkStart w:id="1" w:name="_Toc377389587"/>
      <w:bookmarkStart w:id="2" w:name="_Toc377649793"/>
      <w:bookmarkStart w:id="3" w:name="_Toc398648861"/>
      <w:bookmarkStart w:id="4" w:name="_Toc225847777"/>
      <w:bookmarkStart w:id="5" w:name="_Toc338776608"/>
      <w:bookmarkStart w:id="6" w:name="Annexe21A"/>
      <w:r w:rsidRPr="001446EF">
        <w:rPr>
          <w:rFonts w:ascii="Trebuchet MS" w:hAnsi="Trebuchet MS"/>
          <w:b/>
          <w:bCs/>
          <w:iCs/>
          <w:smallCaps/>
          <w:color w:val="C00000"/>
          <w:sz w:val="32"/>
          <w:szCs w:val="28"/>
        </w:rPr>
        <w:t xml:space="preserve">société à responsabilité limitée d’expertise comptable </w:t>
      </w:r>
      <w:r w:rsidRPr="001446EF">
        <w:rPr>
          <w:rFonts w:ascii="Trebuchet MS" w:hAnsi="Trebuchet MS"/>
          <w:b/>
          <w:bCs/>
          <w:iCs/>
          <w:smallCaps/>
          <w:color w:val="C00000"/>
          <w:sz w:val="32"/>
          <w:szCs w:val="28"/>
        </w:rPr>
        <w:br/>
        <w:t>et de commissaires aux comptes</w:t>
      </w:r>
      <w:bookmarkEnd w:id="0"/>
      <w:bookmarkEnd w:id="1"/>
      <w:bookmarkEnd w:id="2"/>
      <w:bookmarkEnd w:id="3"/>
    </w:p>
    <w:p w:rsidR="001446EF" w:rsidRPr="001446EF" w:rsidRDefault="001446EF" w:rsidP="001446EF">
      <w:pPr>
        <w:autoSpaceDE w:val="0"/>
        <w:autoSpaceDN w:val="0"/>
        <w:adjustRightInd w:val="0"/>
        <w:spacing w:before="240"/>
        <w:jc w:val="center"/>
        <w:rPr>
          <w:rFonts w:ascii="Trebuchet MS" w:hAnsi="Trebuchet MS"/>
          <w:b/>
          <w:iCs/>
          <w:caps/>
          <w:color w:val="C00000"/>
          <w:szCs w:val="23"/>
        </w:rPr>
      </w:pPr>
      <w:r w:rsidRPr="001446EF">
        <w:rPr>
          <w:rFonts w:ascii="Trebuchet MS" w:hAnsi="Trebuchet MS"/>
          <w:b/>
          <w:iCs/>
          <w:caps/>
          <w:color w:val="C00000"/>
          <w:szCs w:val="23"/>
        </w:rPr>
        <w:t>Modèle de statuts</w:t>
      </w:r>
      <w:r w:rsidR="00655208">
        <w:rPr>
          <w:rFonts w:ascii="Trebuchet MS" w:hAnsi="Trebuchet MS"/>
          <w:b/>
          <w:iCs/>
          <w:caps/>
          <w:color w:val="C00000"/>
          <w:szCs w:val="23"/>
        </w:rPr>
        <w:t xml:space="preserve"> (actualises en </w:t>
      </w:r>
      <w:r w:rsidR="00F12BF7">
        <w:rPr>
          <w:rFonts w:ascii="Trebuchet MS" w:hAnsi="Trebuchet MS"/>
          <w:b/>
          <w:iCs/>
          <w:caps/>
          <w:color w:val="C00000"/>
          <w:szCs w:val="23"/>
        </w:rPr>
        <w:t xml:space="preserve">novembre </w:t>
      </w:r>
      <w:r w:rsidR="00655208">
        <w:rPr>
          <w:rFonts w:ascii="Trebuchet MS" w:hAnsi="Trebuchet MS"/>
          <w:b/>
          <w:iCs/>
          <w:caps/>
          <w:color w:val="C00000"/>
          <w:szCs w:val="23"/>
        </w:rPr>
        <w:t>2014)</w:t>
      </w:r>
    </w:p>
    <w:p w:rsidR="001446EF" w:rsidRPr="001446EF" w:rsidRDefault="001446EF" w:rsidP="001446EF">
      <w:pPr>
        <w:autoSpaceDE w:val="0"/>
        <w:autoSpaceDN w:val="0"/>
        <w:adjustRightInd w:val="0"/>
        <w:spacing w:before="600"/>
        <w:jc w:val="both"/>
        <w:rPr>
          <w:rFonts w:ascii="Trebuchet MS" w:hAnsi="Trebuchet MS"/>
          <w:i/>
          <w:color w:val="000000"/>
          <w:sz w:val="20"/>
          <w:szCs w:val="23"/>
        </w:rPr>
      </w:pPr>
      <w:r w:rsidRPr="001446EF">
        <w:rPr>
          <w:rFonts w:ascii="Trebuchet MS" w:hAnsi="Trebuchet MS"/>
          <w:iCs/>
          <w:color w:val="000000"/>
          <w:sz w:val="20"/>
          <w:szCs w:val="23"/>
        </w:rPr>
        <w:t xml:space="preserve">Les soussignés </w:t>
      </w:r>
      <w:r w:rsidRPr="001446EF">
        <w:rPr>
          <w:rFonts w:ascii="Trebuchet MS" w:hAnsi="Trebuchet MS"/>
          <w:i/>
          <w:iCs/>
          <w:color w:val="000000"/>
          <w:sz w:val="20"/>
          <w:szCs w:val="23"/>
        </w:rPr>
        <w:t xml:space="preserve">(état civil ou, pour une société, forme sociale, dénomination sociale, capital social, immatriculation au Registre du commerce et des sociétés et nom, prénoms et qualités du représentant intervenant à l’acte, régime matrimonial, domicile ou siège social, nationalité, inscription à l’Ordre </w:t>
      </w:r>
      <w:r w:rsidRPr="001446EF">
        <w:rPr>
          <w:rFonts w:ascii="Trebuchet MS" w:hAnsi="Trebuchet MS"/>
          <w:i/>
          <w:iCs/>
          <w:color w:val="000000"/>
          <w:sz w:val="20"/>
          <w:szCs w:val="23"/>
        </w:rPr>
        <w:br/>
        <w:t>des experts-comptables et à la Compagnie régionale des commissaires aux comptes) :</w:t>
      </w:r>
    </w:p>
    <w:p w:rsidR="001446EF" w:rsidRPr="001446EF" w:rsidRDefault="001446EF" w:rsidP="001446EF">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1446EF">
        <w:rPr>
          <w:rFonts w:ascii="Trebuchet MS" w:hAnsi="Trebuchet MS"/>
          <w:bCs/>
          <w:iCs/>
          <w:color w:val="000000"/>
          <w:sz w:val="20"/>
          <w:szCs w:val="23"/>
        </w:rPr>
        <w:t xml:space="preserve">- </w:t>
      </w:r>
      <w:r w:rsidRPr="001446EF">
        <w:rPr>
          <w:rFonts w:ascii="Arial" w:hAnsi="Arial" w:cs="Arial"/>
          <w:bCs/>
          <w:iCs/>
          <w:color w:val="000000"/>
          <w:sz w:val="20"/>
          <w:szCs w:val="23"/>
        </w:rPr>
        <w:tab/>
      </w:r>
      <w:r w:rsidRPr="001446EF">
        <w:rPr>
          <w:rFonts w:ascii="Arial" w:hAnsi="Arial" w:cs="Arial"/>
          <w:bCs/>
          <w:iCs/>
          <w:color w:val="000000"/>
          <w:sz w:val="20"/>
          <w:szCs w:val="23"/>
        </w:rPr>
        <w:tab/>
      </w:r>
    </w:p>
    <w:p w:rsidR="001446EF" w:rsidRPr="001446EF" w:rsidRDefault="001446EF" w:rsidP="001446EF">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1446EF">
        <w:rPr>
          <w:rFonts w:ascii="Trebuchet MS" w:hAnsi="Trebuchet MS"/>
          <w:bCs/>
          <w:iCs/>
          <w:color w:val="000000"/>
          <w:sz w:val="20"/>
          <w:szCs w:val="23"/>
        </w:rPr>
        <w:t xml:space="preserve">- </w:t>
      </w:r>
      <w:r w:rsidRPr="001446EF">
        <w:rPr>
          <w:rFonts w:ascii="Arial" w:hAnsi="Arial" w:cs="Arial"/>
          <w:bCs/>
          <w:iCs/>
          <w:color w:val="000000"/>
          <w:sz w:val="20"/>
          <w:szCs w:val="23"/>
        </w:rPr>
        <w:tab/>
      </w:r>
      <w:r w:rsidRPr="001446EF">
        <w:rPr>
          <w:rFonts w:ascii="Arial" w:hAnsi="Arial" w:cs="Arial"/>
          <w:bCs/>
          <w:iCs/>
          <w:color w:val="000000"/>
          <w:sz w:val="20"/>
          <w:szCs w:val="23"/>
        </w:rPr>
        <w:tab/>
      </w:r>
    </w:p>
    <w:p w:rsidR="001446EF" w:rsidRPr="001446EF" w:rsidRDefault="001446EF" w:rsidP="001446EF">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1446EF">
        <w:rPr>
          <w:rFonts w:ascii="Trebuchet MS" w:hAnsi="Trebuchet MS"/>
          <w:bCs/>
          <w:iCs/>
          <w:color w:val="000000"/>
          <w:sz w:val="20"/>
          <w:szCs w:val="23"/>
        </w:rPr>
        <w:t xml:space="preserve">- </w:t>
      </w:r>
      <w:r w:rsidRPr="001446EF">
        <w:rPr>
          <w:rFonts w:ascii="Arial" w:hAnsi="Arial" w:cs="Arial"/>
          <w:bCs/>
          <w:iCs/>
          <w:color w:val="000000"/>
          <w:sz w:val="20"/>
          <w:szCs w:val="23"/>
        </w:rPr>
        <w:tab/>
      </w:r>
      <w:r w:rsidRPr="001446EF">
        <w:rPr>
          <w:rFonts w:ascii="Arial" w:hAnsi="Arial" w:cs="Arial"/>
          <w:bCs/>
          <w:iCs/>
          <w:color w:val="000000"/>
          <w:sz w:val="20"/>
          <w:szCs w:val="23"/>
        </w:rPr>
        <w:tab/>
      </w:r>
    </w:p>
    <w:p w:rsidR="001446EF" w:rsidRPr="001446EF" w:rsidRDefault="001446EF" w:rsidP="001446EF">
      <w:pPr>
        <w:autoSpaceDE w:val="0"/>
        <w:autoSpaceDN w:val="0"/>
        <w:adjustRightInd w:val="0"/>
        <w:spacing w:before="200"/>
        <w:jc w:val="both"/>
        <w:rPr>
          <w:rFonts w:ascii="Trebuchet MS" w:hAnsi="Trebuchet MS"/>
          <w:iCs/>
          <w:color w:val="000000"/>
          <w:sz w:val="20"/>
          <w:szCs w:val="23"/>
        </w:rPr>
      </w:pPr>
      <w:r w:rsidRPr="001446EF">
        <w:rPr>
          <w:rFonts w:ascii="Trebuchet MS" w:hAnsi="Trebuchet MS"/>
          <w:iCs/>
          <w:color w:val="000000"/>
          <w:sz w:val="20"/>
          <w:szCs w:val="23"/>
        </w:rPr>
        <w:t>ont établi ainsi qu’il suit les statuts de la société à responsabilité limitée constituée par le présent acte.</w:t>
      </w:r>
    </w:p>
    <w:p w:rsidR="001446EF" w:rsidRPr="001446EF" w:rsidRDefault="001446EF" w:rsidP="001446EF">
      <w:pPr>
        <w:autoSpaceDE w:val="0"/>
        <w:autoSpaceDN w:val="0"/>
        <w:adjustRightInd w:val="0"/>
        <w:spacing w:before="48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1 - Forme</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 xml:space="preserve">Il existe entre les propriétaires des parts créées ci-après et de toutes celles qui le seraient ultérieurement, </w:t>
      </w:r>
      <w:r w:rsidRPr="001446EF">
        <w:rPr>
          <w:rFonts w:ascii="Trebuchet MS" w:hAnsi="Trebuchet MS"/>
          <w:iCs/>
          <w:color w:val="000000"/>
          <w:spacing w:val="-4"/>
          <w:sz w:val="20"/>
          <w:szCs w:val="23"/>
        </w:rPr>
        <w:br/>
        <w:t xml:space="preserve">une société à responsabilité limitée régie par le livre II et le titre II du livre VIII du Code de commerce </w:t>
      </w:r>
      <w:r w:rsidRPr="001446EF">
        <w:rPr>
          <w:rFonts w:ascii="Trebuchet MS" w:hAnsi="Trebuchet MS"/>
          <w:iCs/>
          <w:color w:val="000000"/>
          <w:spacing w:val="-4"/>
          <w:sz w:val="20"/>
          <w:szCs w:val="23"/>
        </w:rPr>
        <w:br/>
        <w:t xml:space="preserve">et l’Ordonnance </w:t>
      </w:r>
      <w:r w:rsidR="001654AE">
        <w:rPr>
          <w:rFonts w:ascii="Trebuchet MS" w:hAnsi="Trebuchet MS"/>
          <w:iCs/>
          <w:color w:val="000000"/>
          <w:spacing w:val="-4"/>
          <w:sz w:val="20"/>
          <w:szCs w:val="23"/>
        </w:rPr>
        <w:t xml:space="preserve">n°45-2138 du 19 septembre 1945 </w:t>
      </w:r>
      <w:r w:rsidRPr="001446EF">
        <w:rPr>
          <w:rFonts w:ascii="Trebuchet MS" w:hAnsi="Trebuchet MS"/>
          <w:iCs/>
          <w:color w:val="000000"/>
          <w:spacing w:val="-4"/>
          <w:sz w:val="20"/>
          <w:szCs w:val="23"/>
        </w:rPr>
        <w:t>ainsi que par les présents statuts.</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2 – Dénomination sociale</w:t>
      </w:r>
    </w:p>
    <w:p w:rsidR="001446EF" w:rsidRPr="001446EF" w:rsidRDefault="001446EF" w:rsidP="001446EF">
      <w:pPr>
        <w:tabs>
          <w:tab w:val="right" w:leader="dot" w:pos="9639"/>
        </w:tabs>
        <w:autoSpaceDE w:val="0"/>
        <w:autoSpaceDN w:val="0"/>
        <w:adjustRightInd w:val="0"/>
        <w:spacing w:before="120"/>
        <w:jc w:val="both"/>
        <w:rPr>
          <w:rFonts w:ascii="Arial" w:hAnsi="Arial" w:cs="Arial"/>
          <w:iCs/>
          <w:color w:val="000000"/>
          <w:sz w:val="20"/>
          <w:szCs w:val="23"/>
        </w:rPr>
      </w:pPr>
      <w:r w:rsidRPr="001446EF">
        <w:rPr>
          <w:rFonts w:ascii="Trebuchet MS" w:hAnsi="Trebuchet MS"/>
          <w:iCs/>
          <w:color w:val="000000"/>
          <w:sz w:val="20"/>
          <w:szCs w:val="23"/>
        </w:rPr>
        <w:t xml:space="preserve">La dénomination est : </w:t>
      </w:r>
      <w:r w:rsidRPr="001446EF">
        <w:rPr>
          <w:rFonts w:ascii="Arial" w:hAnsi="Arial" w:cs="Arial"/>
          <w:iCs/>
          <w:color w:val="000000"/>
          <w:sz w:val="20"/>
          <w:szCs w:val="23"/>
        </w:rPr>
        <w:tab/>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La société sera inscrite au Tableau de l’Ordre des experts-comptables et sur la liste des commissaires </w:t>
      </w:r>
      <w:r w:rsidRPr="001446EF">
        <w:rPr>
          <w:rFonts w:ascii="Trebuchet MS" w:hAnsi="Trebuchet MS"/>
          <w:iCs/>
          <w:color w:val="000000"/>
          <w:sz w:val="20"/>
          <w:szCs w:val="23"/>
        </w:rPr>
        <w:br/>
        <w:t>aux comptes sous sa dénomination sociale.</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z w:val="20"/>
          <w:szCs w:val="23"/>
        </w:rPr>
        <w:t xml:space="preserve">Les actes et documents émanant de la société et destinés aux tiers, notamment les lettres, factures, annonces et publications diverses, devront non seulement faire précéder ou suivre la dénomination sociale des mots « Société à responsabilité limitée » ou des lettres « S.A.R.L. » et de l’énonciation du montant </w:t>
      </w:r>
      <w:r w:rsidRPr="001446EF">
        <w:rPr>
          <w:rFonts w:ascii="Trebuchet MS" w:hAnsi="Trebuchet MS"/>
          <w:iCs/>
          <w:color w:val="000000"/>
          <w:sz w:val="20"/>
          <w:szCs w:val="23"/>
        </w:rPr>
        <w:br/>
      </w:r>
      <w:r w:rsidRPr="001446EF">
        <w:rPr>
          <w:rFonts w:ascii="Trebuchet MS" w:hAnsi="Trebuchet MS"/>
          <w:iCs/>
          <w:color w:val="000000"/>
          <w:spacing w:val="-4"/>
          <w:sz w:val="20"/>
          <w:szCs w:val="23"/>
        </w:rPr>
        <w:t xml:space="preserve">du capital social, mais aussi faire suivre cette dénomination de la mention « société d’expertise comptable </w:t>
      </w:r>
      <w:r w:rsidRPr="001446EF">
        <w:rPr>
          <w:rFonts w:ascii="Trebuchet MS" w:hAnsi="Trebuchet MS"/>
          <w:iCs/>
          <w:color w:val="000000"/>
          <w:spacing w:val="-4"/>
          <w:sz w:val="20"/>
          <w:szCs w:val="23"/>
        </w:rPr>
        <w:br/>
        <w:t>et de commissaires aux comptes » et de l’indication du Tableau de la circonscription de l’Ordre des experts-comptables et de la Compagnie régionale des commissaires aux comptes, où la société est inscrite.</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3 – Objet social</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La société a pour objet :</w:t>
      </w:r>
    </w:p>
    <w:p w:rsidR="001446EF" w:rsidRPr="001446EF" w:rsidRDefault="001446EF" w:rsidP="001446EF">
      <w:pPr>
        <w:tabs>
          <w:tab w:val="left" w:pos="284"/>
          <w:tab w:val="right" w:leader="dot" w:pos="9639"/>
        </w:tabs>
        <w:autoSpaceDE w:val="0"/>
        <w:autoSpaceDN w:val="0"/>
        <w:adjustRightInd w:val="0"/>
        <w:spacing w:before="120"/>
        <w:ind w:left="284" w:hanging="284"/>
        <w:jc w:val="both"/>
        <w:rPr>
          <w:rFonts w:ascii="Trebuchet MS" w:hAnsi="Trebuchet MS"/>
          <w:bCs/>
          <w:iCs/>
          <w:color w:val="000000"/>
          <w:spacing w:val="-6"/>
          <w:sz w:val="20"/>
          <w:szCs w:val="23"/>
        </w:rPr>
      </w:pPr>
      <w:r w:rsidRPr="001446EF">
        <w:rPr>
          <w:rFonts w:ascii="Trebuchet MS" w:hAnsi="Trebuchet MS"/>
          <w:bCs/>
          <w:iCs/>
          <w:color w:val="000000"/>
          <w:spacing w:val="-6"/>
          <w:sz w:val="20"/>
          <w:szCs w:val="23"/>
        </w:rPr>
        <w:t xml:space="preserve">- </w:t>
      </w:r>
      <w:r w:rsidRPr="001446EF">
        <w:rPr>
          <w:rFonts w:ascii="Trebuchet MS" w:hAnsi="Trebuchet MS"/>
          <w:bCs/>
          <w:iCs/>
          <w:color w:val="000000"/>
          <w:spacing w:val="-6"/>
          <w:sz w:val="20"/>
          <w:szCs w:val="23"/>
        </w:rPr>
        <w:tab/>
        <w:t>l’exercice de la profession d’expert-comptable dès son inscription au Tableau de l’Ordre des experts-comptables ;</w:t>
      </w:r>
    </w:p>
    <w:p w:rsidR="001446EF" w:rsidRPr="001446EF" w:rsidRDefault="001446EF" w:rsidP="001446EF">
      <w:pPr>
        <w:tabs>
          <w:tab w:val="left" w:pos="284"/>
          <w:tab w:val="right" w:leader="dot" w:pos="9639"/>
        </w:tabs>
        <w:autoSpaceDE w:val="0"/>
        <w:autoSpaceDN w:val="0"/>
        <w:adjustRightInd w:val="0"/>
        <w:spacing w:before="120"/>
        <w:ind w:left="284" w:hanging="284"/>
        <w:jc w:val="both"/>
        <w:rPr>
          <w:rFonts w:ascii="Trebuchet MS" w:hAnsi="Trebuchet MS"/>
          <w:bCs/>
          <w:iCs/>
          <w:color w:val="000000"/>
          <w:spacing w:val="-4"/>
          <w:sz w:val="20"/>
          <w:szCs w:val="23"/>
        </w:rPr>
      </w:pPr>
      <w:r w:rsidRPr="001446EF">
        <w:rPr>
          <w:rFonts w:ascii="Trebuchet MS" w:hAnsi="Trebuchet MS"/>
          <w:bCs/>
          <w:iCs/>
          <w:color w:val="000000"/>
          <w:spacing w:val="-4"/>
          <w:sz w:val="20"/>
          <w:szCs w:val="23"/>
        </w:rPr>
        <w:t xml:space="preserve">- </w:t>
      </w:r>
      <w:r w:rsidRPr="001446EF">
        <w:rPr>
          <w:rFonts w:ascii="Trebuchet MS" w:hAnsi="Trebuchet MS"/>
          <w:bCs/>
          <w:iCs/>
          <w:color w:val="000000"/>
          <w:spacing w:val="-4"/>
          <w:sz w:val="20"/>
          <w:szCs w:val="23"/>
        </w:rPr>
        <w:tab/>
        <w:t xml:space="preserve">l’exercice de la profession de commissaire aux comptes, dès son inscription sur la liste des commissaires </w:t>
      </w:r>
      <w:r w:rsidRPr="001446EF">
        <w:rPr>
          <w:rFonts w:ascii="Trebuchet MS" w:hAnsi="Trebuchet MS"/>
          <w:bCs/>
          <w:iCs/>
          <w:color w:val="000000"/>
          <w:spacing w:val="-4"/>
          <w:sz w:val="20"/>
          <w:szCs w:val="23"/>
        </w:rPr>
        <w:br/>
        <w:t>aux comptes.</w:t>
      </w:r>
    </w:p>
    <w:p w:rsid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Elle peut réaliser toutes opérations qui se rapportent à cet objet social et qui sont compatibles avec celui-ci, dans les conditions fixées par les textes législatifs et réglementaires.</w:t>
      </w:r>
    </w:p>
    <w:p w:rsidR="001654AE" w:rsidRPr="001446EF" w:rsidRDefault="001654AE" w:rsidP="001446EF">
      <w:pPr>
        <w:autoSpaceDE w:val="0"/>
        <w:autoSpaceDN w:val="0"/>
        <w:adjustRightInd w:val="0"/>
        <w:spacing w:before="120"/>
        <w:jc w:val="both"/>
        <w:rPr>
          <w:rFonts w:ascii="Trebuchet MS" w:hAnsi="Trebuchet MS"/>
          <w:iCs/>
          <w:color w:val="000000"/>
          <w:sz w:val="20"/>
          <w:szCs w:val="23"/>
        </w:rPr>
      </w:pPr>
      <w:r>
        <w:rPr>
          <w:rFonts w:ascii="Trebuchet MS" w:hAnsi="Trebuchet MS"/>
          <w:iCs/>
          <w:color w:val="000000"/>
          <w:sz w:val="20"/>
          <w:szCs w:val="23"/>
        </w:rPr>
        <w:t>Elle peut notamment détenir des participations dans des entreprises de toute nature sous le contrôle du conseil régional de l’Ordre dans les conditions fixées par le règlement intérieur de l’Ordre des experts-comptables.</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4 - Siège social</w:t>
      </w:r>
    </w:p>
    <w:p w:rsidR="001446EF" w:rsidRPr="001446EF" w:rsidRDefault="001446EF" w:rsidP="001446EF">
      <w:pPr>
        <w:tabs>
          <w:tab w:val="right" w:leader="dot" w:pos="9639"/>
        </w:tabs>
        <w:autoSpaceDE w:val="0"/>
        <w:autoSpaceDN w:val="0"/>
        <w:adjustRightInd w:val="0"/>
        <w:spacing w:before="120"/>
        <w:jc w:val="both"/>
        <w:rPr>
          <w:rFonts w:ascii="Arial" w:hAnsi="Arial" w:cs="Arial"/>
          <w:iCs/>
          <w:color w:val="000000"/>
          <w:sz w:val="20"/>
          <w:szCs w:val="23"/>
        </w:rPr>
      </w:pPr>
      <w:r w:rsidRPr="001446EF">
        <w:rPr>
          <w:rFonts w:ascii="Trebuchet MS" w:hAnsi="Trebuchet MS"/>
          <w:iCs/>
          <w:color w:val="000000"/>
          <w:sz w:val="20"/>
          <w:szCs w:val="23"/>
        </w:rPr>
        <w:t xml:space="preserve">Le siège social est fixé à </w:t>
      </w:r>
      <w:r w:rsidRPr="001446EF">
        <w:rPr>
          <w:rFonts w:ascii="Arial" w:hAnsi="Arial" w:cs="Arial"/>
          <w:iCs/>
          <w:color w:val="000000"/>
          <w:sz w:val="20"/>
          <w:szCs w:val="23"/>
        </w:rPr>
        <w:tab/>
      </w:r>
    </w:p>
    <w:p w:rsidR="001446EF" w:rsidRPr="001446EF" w:rsidRDefault="001446EF" w:rsidP="001654AE">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lastRenderedPageBreak/>
        <w:t xml:space="preserve">Il pourra être transféré dans le même département ou dans un département limitrophe par simple décision de la gérance, sous réserve de ratification par une décision extraordinaire des associés, </w:t>
      </w:r>
      <w:r w:rsidRPr="001446EF">
        <w:rPr>
          <w:rFonts w:ascii="Trebuchet MS" w:hAnsi="Trebuchet MS"/>
          <w:iCs/>
          <w:color w:val="000000"/>
          <w:sz w:val="20"/>
          <w:szCs w:val="23"/>
        </w:rPr>
        <w:br/>
        <w:t>et partout ailleurs sur le territoire français, en vertu d’une décision extraordinaire des associés.</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5 - Durée</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La durée de la société est fixée à ……… années à compter du jour de son immatriculation au registre </w:t>
      </w:r>
      <w:r w:rsidRPr="001446EF">
        <w:rPr>
          <w:rFonts w:ascii="Trebuchet MS" w:hAnsi="Trebuchet MS"/>
          <w:iCs/>
          <w:color w:val="000000"/>
          <w:sz w:val="20"/>
          <w:szCs w:val="23"/>
        </w:rPr>
        <w:br/>
        <w:t>du commerce et des sociétés, sauf les cas de dissolution anticipée ou de prorogation prévus aux présents statuts.</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6 - Apports - Formation du capital</w:t>
      </w:r>
    </w:p>
    <w:p w:rsidR="001446EF" w:rsidRPr="001446EF" w:rsidRDefault="001446EF" w:rsidP="001446EF">
      <w:pPr>
        <w:autoSpaceDE w:val="0"/>
        <w:autoSpaceDN w:val="0"/>
        <w:adjustRightInd w:val="0"/>
        <w:spacing w:before="200"/>
        <w:ind w:left="284"/>
        <w:jc w:val="both"/>
        <w:rPr>
          <w:rFonts w:ascii="Trebuchet MS" w:hAnsi="Trebuchet MS"/>
          <w:b/>
          <w:bCs/>
          <w:iCs/>
          <w:color w:val="000000"/>
          <w:sz w:val="20"/>
          <w:szCs w:val="23"/>
        </w:rPr>
      </w:pPr>
      <w:r w:rsidRPr="001446EF">
        <w:rPr>
          <w:rFonts w:ascii="Trebuchet MS" w:hAnsi="Trebuchet MS"/>
          <w:b/>
          <w:bCs/>
          <w:iCs/>
          <w:color w:val="000000"/>
          <w:sz w:val="20"/>
          <w:szCs w:val="23"/>
        </w:rPr>
        <w:t>I. Apports en nature</w:t>
      </w:r>
    </w:p>
    <w:p w:rsidR="001446EF" w:rsidRPr="001446EF" w:rsidRDefault="001446EF" w:rsidP="001446EF">
      <w:pPr>
        <w:autoSpaceDE w:val="0"/>
        <w:autoSpaceDN w:val="0"/>
        <w:adjustRightInd w:val="0"/>
        <w:spacing w:before="200"/>
        <w:jc w:val="both"/>
        <w:rPr>
          <w:rFonts w:ascii="Trebuchet MS" w:hAnsi="Trebuchet MS"/>
          <w:i/>
          <w:color w:val="000000"/>
          <w:sz w:val="20"/>
          <w:szCs w:val="23"/>
        </w:rPr>
      </w:pPr>
      <w:r w:rsidRPr="001446EF">
        <w:rPr>
          <w:rFonts w:ascii="Trebuchet MS" w:hAnsi="Trebuchet MS"/>
          <w:i/>
          <w:iCs/>
          <w:color w:val="000000"/>
          <w:sz w:val="20"/>
          <w:szCs w:val="23"/>
        </w:rPr>
        <w:t>(Description : immeubles, mobiliers, matériels, installations, créances, fonds libéral, etc.) :</w:t>
      </w:r>
    </w:p>
    <w:p w:rsidR="001446EF" w:rsidRPr="001446EF" w:rsidRDefault="001446EF" w:rsidP="001446EF">
      <w:pPr>
        <w:tabs>
          <w:tab w:val="right" w:leader="dot" w:pos="9639"/>
        </w:tabs>
        <w:autoSpaceDE w:val="0"/>
        <w:autoSpaceDN w:val="0"/>
        <w:adjustRightInd w:val="0"/>
        <w:spacing w:before="120"/>
        <w:jc w:val="both"/>
        <w:rPr>
          <w:rFonts w:ascii="Arial" w:hAnsi="Arial" w:cs="Arial"/>
          <w:bCs/>
          <w:iCs/>
          <w:color w:val="000000"/>
          <w:sz w:val="20"/>
          <w:szCs w:val="23"/>
        </w:rPr>
      </w:pPr>
      <w:r w:rsidRPr="001446EF">
        <w:rPr>
          <w:rFonts w:ascii="Arial" w:hAnsi="Arial" w:cs="Arial"/>
          <w:bCs/>
          <w:iCs/>
          <w:color w:val="000000"/>
          <w:sz w:val="20"/>
          <w:szCs w:val="23"/>
        </w:rPr>
        <w:tab/>
      </w:r>
    </w:p>
    <w:p w:rsidR="001446EF" w:rsidRPr="001446EF" w:rsidRDefault="001446EF" w:rsidP="001446EF">
      <w:pPr>
        <w:tabs>
          <w:tab w:val="right" w:leader="dot" w:pos="9639"/>
        </w:tabs>
        <w:autoSpaceDE w:val="0"/>
        <w:autoSpaceDN w:val="0"/>
        <w:adjustRightInd w:val="0"/>
        <w:spacing w:before="120"/>
        <w:jc w:val="both"/>
        <w:rPr>
          <w:rFonts w:ascii="Arial" w:hAnsi="Arial" w:cs="Arial"/>
          <w:bCs/>
          <w:iCs/>
          <w:color w:val="000000"/>
          <w:sz w:val="20"/>
          <w:szCs w:val="23"/>
        </w:rPr>
      </w:pPr>
      <w:r w:rsidRPr="001446EF">
        <w:rPr>
          <w:rFonts w:ascii="Arial" w:hAnsi="Arial" w:cs="Arial"/>
          <w:bCs/>
          <w:iCs/>
          <w:color w:val="000000"/>
          <w:sz w:val="20"/>
          <w:szCs w:val="23"/>
        </w:rPr>
        <w:tab/>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Cette évaluation est faite au vu du rapport établi le …/…/……, par M. ………, commissaire aux apports désigné, à l’unanimité par les futurs associés, suivant mandat en date du …/…/……, rapport et mandat annexés aux présents statuts.</w:t>
      </w:r>
    </w:p>
    <w:p w:rsidR="001446EF" w:rsidRPr="001446EF" w:rsidRDefault="001446EF" w:rsidP="001446EF">
      <w:pPr>
        <w:autoSpaceDE w:val="0"/>
        <w:autoSpaceDN w:val="0"/>
        <w:adjustRightInd w:val="0"/>
        <w:spacing w:before="120"/>
        <w:jc w:val="both"/>
        <w:rPr>
          <w:rFonts w:ascii="Trebuchet MS" w:hAnsi="Trebuchet MS"/>
          <w:bCs/>
          <w:i/>
          <w:iCs/>
          <w:color w:val="000000"/>
          <w:sz w:val="20"/>
          <w:szCs w:val="23"/>
        </w:rPr>
      </w:pPr>
      <w:r w:rsidRPr="001446EF">
        <w:rPr>
          <w:rFonts w:ascii="Trebuchet MS" w:hAnsi="Trebuchet MS"/>
          <w:bCs/>
          <w:i/>
          <w:iCs/>
          <w:color w:val="000000"/>
          <w:sz w:val="20"/>
          <w:szCs w:val="23"/>
        </w:rPr>
        <w:t>(ou bien) :</w:t>
      </w:r>
    </w:p>
    <w:p w:rsidR="001446EF" w:rsidRPr="001446EF" w:rsidRDefault="001446EF" w:rsidP="001446EF">
      <w:pPr>
        <w:autoSpaceDE w:val="0"/>
        <w:autoSpaceDN w:val="0"/>
        <w:adjustRightInd w:val="0"/>
        <w:spacing w:before="60"/>
        <w:jc w:val="both"/>
        <w:rPr>
          <w:rFonts w:ascii="Trebuchet MS" w:hAnsi="Trebuchet MS"/>
          <w:iCs/>
          <w:color w:val="000000"/>
          <w:sz w:val="20"/>
          <w:szCs w:val="23"/>
        </w:rPr>
      </w:pPr>
      <w:r w:rsidRPr="001446EF">
        <w:rPr>
          <w:rFonts w:ascii="Trebuchet MS" w:hAnsi="Trebuchet MS"/>
          <w:iCs/>
          <w:color w:val="000000"/>
          <w:sz w:val="20"/>
          <w:szCs w:val="23"/>
        </w:rPr>
        <w:t xml:space="preserve">Cette évaluation est faite au vu du rapport annexé aux présents statuts et établi le …/…/……, par M. ………, commissaire aux apports, désigné par Ordonnance du …/…/…… rendue par M. le président du tribunal </w:t>
      </w:r>
      <w:r w:rsidRPr="001446EF">
        <w:rPr>
          <w:rFonts w:ascii="Trebuchet MS" w:hAnsi="Trebuchet MS"/>
          <w:iCs/>
          <w:color w:val="000000"/>
          <w:sz w:val="20"/>
          <w:szCs w:val="23"/>
        </w:rPr>
        <w:br/>
        <w:t>du commerce de ……… sur requête de M. ………, futur associé.</w:t>
      </w:r>
    </w:p>
    <w:p w:rsidR="001446EF" w:rsidRPr="001446EF" w:rsidRDefault="001446EF" w:rsidP="001446EF">
      <w:pPr>
        <w:autoSpaceDE w:val="0"/>
        <w:autoSpaceDN w:val="0"/>
        <w:adjustRightInd w:val="0"/>
        <w:spacing w:before="120"/>
        <w:jc w:val="both"/>
        <w:rPr>
          <w:rFonts w:ascii="Trebuchet MS" w:hAnsi="Trebuchet MS"/>
          <w:bCs/>
          <w:i/>
          <w:iCs/>
          <w:color w:val="000000"/>
          <w:sz w:val="20"/>
          <w:szCs w:val="23"/>
        </w:rPr>
      </w:pPr>
      <w:r w:rsidRPr="001446EF">
        <w:rPr>
          <w:rFonts w:ascii="Trebuchet MS" w:hAnsi="Trebuchet MS"/>
          <w:bCs/>
          <w:i/>
          <w:iCs/>
          <w:color w:val="000000"/>
          <w:sz w:val="20"/>
          <w:szCs w:val="23"/>
        </w:rPr>
        <w:t>(ou bien) :</w:t>
      </w:r>
    </w:p>
    <w:p w:rsidR="001446EF" w:rsidRPr="001446EF" w:rsidRDefault="001446EF" w:rsidP="001446EF">
      <w:pPr>
        <w:autoSpaceDE w:val="0"/>
        <w:autoSpaceDN w:val="0"/>
        <w:adjustRightInd w:val="0"/>
        <w:spacing w:before="60"/>
        <w:jc w:val="both"/>
        <w:rPr>
          <w:rFonts w:ascii="Trebuchet MS" w:hAnsi="Trebuchet MS"/>
          <w:iCs/>
          <w:color w:val="000000"/>
          <w:sz w:val="20"/>
          <w:szCs w:val="23"/>
        </w:rPr>
      </w:pPr>
      <w:r w:rsidRPr="001446EF">
        <w:rPr>
          <w:rFonts w:ascii="Trebuchet MS" w:hAnsi="Trebuchet MS"/>
          <w:iCs/>
          <w:color w:val="000000"/>
          <w:sz w:val="20"/>
          <w:szCs w:val="23"/>
        </w:rPr>
        <w:t>Le bien ci-dessus désigné n’excédant pas la somme de 30 000 euros et sa valeur ne dépassant pas la moitié du capital, les associés ont décidé de ne pas la soumettre à l’évaluation d’un commissaire aux apports.</w:t>
      </w:r>
    </w:p>
    <w:p w:rsidR="001446EF" w:rsidRPr="001446EF" w:rsidRDefault="001446EF" w:rsidP="001446EF">
      <w:pPr>
        <w:autoSpaceDE w:val="0"/>
        <w:autoSpaceDN w:val="0"/>
        <w:adjustRightInd w:val="0"/>
        <w:spacing w:before="120"/>
        <w:jc w:val="both"/>
        <w:rPr>
          <w:rFonts w:ascii="Trebuchet MS" w:hAnsi="Trebuchet MS"/>
          <w:bCs/>
          <w:i/>
          <w:iCs/>
          <w:color w:val="000000"/>
          <w:sz w:val="20"/>
          <w:szCs w:val="23"/>
        </w:rPr>
      </w:pPr>
      <w:r w:rsidRPr="001446EF">
        <w:rPr>
          <w:rFonts w:ascii="Trebuchet MS" w:hAnsi="Trebuchet MS"/>
          <w:bCs/>
          <w:i/>
          <w:iCs/>
          <w:color w:val="000000"/>
          <w:sz w:val="20"/>
          <w:szCs w:val="23"/>
        </w:rPr>
        <w:t>(ou bien) :</w:t>
      </w:r>
    </w:p>
    <w:p w:rsidR="001446EF" w:rsidRPr="001446EF" w:rsidRDefault="001446EF" w:rsidP="001446EF">
      <w:pPr>
        <w:autoSpaceDE w:val="0"/>
        <w:autoSpaceDN w:val="0"/>
        <w:adjustRightInd w:val="0"/>
        <w:spacing w:before="60"/>
        <w:jc w:val="both"/>
        <w:rPr>
          <w:rFonts w:ascii="Trebuchet MS" w:hAnsi="Trebuchet MS"/>
          <w:iCs/>
          <w:color w:val="000000"/>
          <w:spacing w:val="-4"/>
          <w:sz w:val="20"/>
          <w:szCs w:val="23"/>
        </w:rPr>
      </w:pPr>
      <w:r w:rsidRPr="001446EF">
        <w:rPr>
          <w:rFonts w:ascii="Trebuchet MS" w:hAnsi="Trebuchet MS"/>
          <w:iCs/>
          <w:color w:val="000000"/>
          <w:spacing w:val="-4"/>
          <w:sz w:val="20"/>
          <w:szCs w:val="23"/>
        </w:rPr>
        <w:t>Aucun bien faisant l’objet de l’apport ci-dessus constaté n’excédant la somme de 30 000 euros et la valeur d’ensemble de ces biens ne dépassant pas la moitié du capital, les associés ont décidé de ne pas les soumettre à l’évaluation d’un commissaire aux apports.</w:t>
      </w:r>
    </w:p>
    <w:p w:rsidR="001446EF" w:rsidRPr="001446EF" w:rsidRDefault="001446EF" w:rsidP="001446EF">
      <w:pPr>
        <w:tabs>
          <w:tab w:val="right" w:leader="dot" w:pos="9639"/>
        </w:tabs>
        <w:autoSpaceDE w:val="0"/>
        <w:autoSpaceDN w:val="0"/>
        <w:adjustRightInd w:val="0"/>
        <w:spacing w:before="200"/>
        <w:ind w:left="426"/>
        <w:jc w:val="both"/>
        <w:rPr>
          <w:rFonts w:ascii="Trebuchet MS" w:hAnsi="Trebuchet MS"/>
          <w:b/>
          <w:bCs/>
          <w:iCs/>
          <w:color w:val="404040"/>
          <w:sz w:val="20"/>
          <w:szCs w:val="23"/>
        </w:rPr>
      </w:pPr>
      <w:r w:rsidRPr="001446EF">
        <w:rPr>
          <w:rFonts w:ascii="Trebuchet MS" w:hAnsi="Trebuchet MS"/>
          <w:b/>
          <w:bCs/>
          <w:iCs/>
          <w:color w:val="404040"/>
          <w:sz w:val="20"/>
          <w:szCs w:val="23"/>
        </w:rPr>
        <w:t>1. Lorsque l’un ou l’autre des conjoints apporte des biens communs</w:t>
      </w:r>
    </w:p>
    <w:p w:rsidR="001446EF" w:rsidRPr="001446EF" w:rsidRDefault="001446EF" w:rsidP="001446EF">
      <w:pPr>
        <w:autoSpaceDE w:val="0"/>
        <w:autoSpaceDN w:val="0"/>
        <w:adjustRightInd w:val="0"/>
        <w:spacing w:before="120"/>
        <w:ind w:left="567"/>
        <w:jc w:val="both"/>
        <w:rPr>
          <w:rFonts w:ascii="Trebuchet MS" w:hAnsi="Trebuchet MS"/>
          <w:bCs/>
          <w:iCs/>
          <w:color w:val="000000"/>
          <w:sz w:val="20"/>
          <w:szCs w:val="23"/>
          <w:u w:val="single"/>
        </w:rPr>
      </w:pPr>
      <w:r w:rsidRPr="001446EF">
        <w:rPr>
          <w:rFonts w:ascii="Trebuchet MS" w:hAnsi="Trebuchet MS"/>
          <w:bCs/>
          <w:iCs/>
          <w:color w:val="000000"/>
          <w:sz w:val="20"/>
          <w:szCs w:val="23"/>
        </w:rPr>
        <w:t xml:space="preserve">a) </w:t>
      </w:r>
      <w:r w:rsidRPr="001446EF">
        <w:rPr>
          <w:rFonts w:ascii="Trebuchet MS" w:hAnsi="Trebuchet MS"/>
          <w:bCs/>
          <w:iCs/>
          <w:color w:val="000000"/>
          <w:sz w:val="20"/>
          <w:szCs w:val="23"/>
          <w:u w:val="single"/>
        </w:rPr>
        <w:t>Le conjoint est présent à l’acte</w:t>
      </w:r>
    </w:p>
    <w:p w:rsidR="001446EF" w:rsidRDefault="001446EF" w:rsidP="001446EF">
      <w:pPr>
        <w:autoSpaceDE w:val="0"/>
        <w:autoSpaceDN w:val="0"/>
        <w:adjustRightInd w:val="0"/>
        <w:spacing w:before="60"/>
        <w:jc w:val="both"/>
        <w:rPr>
          <w:rFonts w:ascii="Trebuchet MS" w:hAnsi="Trebuchet MS"/>
          <w:iCs/>
          <w:color w:val="000000"/>
          <w:spacing w:val="-4"/>
          <w:sz w:val="20"/>
          <w:szCs w:val="23"/>
        </w:rPr>
      </w:pPr>
      <w:r w:rsidRPr="001446EF">
        <w:rPr>
          <w:rFonts w:ascii="Trebuchet MS" w:hAnsi="Trebuchet MS"/>
          <w:iCs/>
          <w:color w:val="000000"/>
          <w:spacing w:val="-4"/>
          <w:sz w:val="20"/>
          <w:szCs w:val="23"/>
        </w:rPr>
        <w:t>Les biens faisant l’objet de l’apport en nature de M. ……… dépendent de la communauté de biens existant entre l’apporteur et son conjoint. Celui-ci, intervenant aux présentes, n’a pas demandé à être personnellement associé. Les parts rémunérant cet apport sont donc toutes attribuées à M. ……….</w:t>
      </w:r>
    </w:p>
    <w:p w:rsidR="004D79E6" w:rsidRPr="004D79E6" w:rsidRDefault="004D79E6" w:rsidP="004D79E6">
      <w:pPr>
        <w:autoSpaceDE w:val="0"/>
        <w:autoSpaceDN w:val="0"/>
        <w:adjustRightInd w:val="0"/>
        <w:spacing w:before="60"/>
        <w:jc w:val="both"/>
        <w:rPr>
          <w:rFonts w:ascii="Trebuchet MS" w:hAnsi="Trebuchet MS"/>
          <w:bCs/>
          <w:iCs/>
          <w:color w:val="000000"/>
          <w:spacing w:val="-4"/>
          <w:sz w:val="20"/>
          <w:szCs w:val="23"/>
        </w:rPr>
      </w:pPr>
      <w:r w:rsidRPr="004D79E6">
        <w:rPr>
          <w:rFonts w:ascii="Trebuchet MS" w:hAnsi="Trebuchet MS"/>
          <w:bCs/>
          <w:iCs/>
          <w:color w:val="000000"/>
          <w:spacing w:val="-4"/>
          <w:sz w:val="20"/>
          <w:szCs w:val="23"/>
        </w:rPr>
        <w:t>Celui-ci, intervenant aux présentes, a demandé à être personnellement associé. Les parts rémunérant cet apport sont donc attribuées pour moitié à chacun des époux.</w:t>
      </w:r>
    </w:p>
    <w:p w:rsidR="001446EF" w:rsidRPr="001446EF" w:rsidRDefault="001446EF" w:rsidP="001446EF">
      <w:pPr>
        <w:autoSpaceDE w:val="0"/>
        <w:autoSpaceDN w:val="0"/>
        <w:adjustRightInd w:val="0"/>
        <w:spacing w:before="120"/>
        <w:ind w:left="567"/>
        <w:jc w:val="both"/>
        <w:rPr>
          <w:rFonts w:ascii="Trebuchet MS" w:hAnsi="Trebuchet MS"/>
          <w:bCs/>
          <w:iCs/>
          <w:color w:val="000000"/>
          <w:sz w:val="20"/>
          <w:szCs w:val="23"/>
        </w:rPr>
      </w:pPr>
      <w:r w:rsidRPr="001446EF">
        <w:rPr>
          <w:rFonts w:ascii="Trebuchet MS" w:hAnsi="Trebuchet MS"/>
          <w:bCs/>
          <w:iCs/>
          <w:color w:val="000000"/>
          <w:sz w:val="20"/>
          <w:szCs w:val="23"/>
        </w:rPr>
        <w:t xml:space="preserve">b) </w:t>
      </w:r>
      <w:r w:rsidRPr="001446EF">
        <w:rPr>
          <w:rFonts w:ascii="Trebuchet MS" w:hAnsi="Trebuchet MS"/>
          <w:bCs/>
          <w:iCs/>
          <w:color w:val="000000"/>
          <w:sz w:val="20"/>
          <w:szCs w:val="23"/>
          <w:u w:val="single"/>
        </w:rPr>
        <w:t>Le conjoint n’intervient pas à l’acte</w:t>
      </w:r>
    </w:p>
    <w:p w:rsidR="001446EF" w:rsidRDefault="001446EF" w:rsidP="001446EF">
      <w:pPr>
        <w:autoSpaceDE w:val="0"/>
        <w:autoSpaceDN w:val="0"/>
        <w:adjustRightInd w:val="0"/>
        <w:spacing w:before="60"/>
        <w:jc w:val="both"/>
        <w:rPr>
          <w:rFonts w:ascii="Trebuchet MS" w:hAnsi="Trebuchet MS"/>
          <w:iCs/>
          <w:color w:val="000000"/>
          <w:sz w:val="20"/>
          <w:szCs w:val="23"/>
        </w:rPr>
      </w:pPr>
      <w:r w:rsidRPr="001446EF">
        <w:rPr>
          <w:rFonts w:ascii="Trebuchet MS" w:hAnsi="Trebuchet MS"/>
          <w:iCs/>
          <w:color w:val="000000"/>
          <w:sz w:val="20"/>
          <w:szCs w:val="23"/>
        </w:rPr>
        <w:t xml:space="preserve">Les biens faisant l’objet de l’apport en nature de M. ……… dépendent de la communauté de biens existant entre l’apporteur et son conjoint </w:t>
      </w:r>
      <w:r w:rsidRPr="001446EF">
        <w:rPr>
          <w:rFonts w:ascii="Trebuchet MS" w:hAnsi="Trebuchet MS"/>
          <w:i/>
          <w:iCs/>
          <w:color w:val="000000"/>
          <w:sz w:val="20"/>
          <w:szCs w:val="23"/>
        </w:rPr>
        <w:t>(nom, prénoms, nom de jeune fille le cas échéant)</w:t>
      </w:r>
      <w:r w:rsidRPr="001446EF">
        <w:rPr>
          <w:rFonts w:ascii="Trebuchet MS" w:hAnsi="Trebuchet MS"/>
          <w:iCs/>
          <w:color w:val="000000"/>
          <w:sz w:val="20"/>
          <w:szCs w:val="23"/>
        </w:rPr>
        <w:t>. Celui-ci a été averti de cet apport par lettre recommandée avec demande d’avis de réception du …/…/…… et n’a pas demandé à être personnellement associé. Les parts rémunérant cet apport sont donc toutes attribuées à M. ……….</w:t>
      </w:r>
    </w:p>
    <w:p w:rsidR="004D79E6" w:rsidRPr="004D79E6" w:rsidRDefault="004D79E6" w:rsidP="004D79E6">
      <w:pPr>
        <w:autoSpaceDE w:val="0"/>
        <w:autoSpaceDN w:val="0"/>
        <w:adjustRightInd w:val="0"/>
        <w:spacing w:before="60"/>
        <w:jc w:val="both"/>
        <w:rPr>
          <w:rFonts w:ascii="Trebuchet MS" w:hAnsi="Trebuchet MS"/>
          <w:bCs/>
          <w:iCs/>
          <w:color w:val="000000"/>
          <w:spacing w:val="-4"/>
          <w:sz w:val="20"/>
          <w:szCs w:val="23"/>
        </w:rPr>
      </w:pPr>
      <w:r w:rsidRPr="004D79E6">
        <w:rPr>
          <w:rFonts w:ascii="Trebuchet MS" w:hAnsi="Trebuchet MS"/>
          <w:bCs/>
          <w:iCs/>
          <w:color w:val="000000"/>
          <w:spacing w:val="-4"/>
          <w:sz w:val="20"/>
          <w:szCs w:val="23"/>
        </w:rPr>
        <w:t>Celui-ci a été averti de cet apport par lettre recommandée avec demande d’avis de réception du …/…/…… et a demandé à être personnellement associé. Les parts rémunérant cet apport sont donc sont donc attribuées pour moitié à chacun des époux.</w:t>
      </w:r>
    </w:p>
    <w:p w:rsidR="001446EF" w:rsidRPr="001446EF" w:rsidRDefault="001446EF" w:rsidP="001446EF">
      <w:pPr>
        <w:autoSpaceDE w:val="0"/>
        <w:autoSpaceDN w:val="0"/>
        <w:adjustRightInd w:val="0"/>
        <w:spacing w:before="200"/>
        <w:ind w:left="426"/>
        <w:jc w:val="both"/>
        <w:rPr>
          <w:rFonts w:ascii="Trebuchet MS" w:hAnsi="Trebuchet MS"/>
          <w:b/>
          <w:bCs/>
          <w:iCs/>
          <w:color w:val="404040"/>
          <w:sz w:val="20"/>
          <w:szCs w:val="23"/>
        </w:rPr>
      </w:pPr>
      <w:r w:rsidRPr="001446EF">
        <w:rPr>
          <w:rFonts w:ascii="Trebuchet MS" w:hAnsi="Trebuchet MS"/>
          <w:b/>
          <w:bCs/>
          <w:iCs/>
          <w:color w:val="404040"/>
          <w:sz w:val="20"/>
          <w:szCs w:val="23"/>
        </w:rPr>
        <w:t>2. Lorsque l’apporteur apporte des biens indivis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Les biens faisant l’objet de l’apport en nature de M. ……… sont indivis entre l’apporteur et Mme ……… </w:t>
      </w:r>
      <w:r w:rsidRPr="001446EF">
        <w:rPr>
          <w:rFonts w:ascii="Trebuchet MS" w:hAnsi="Trebuchet MS"/>
          <w:i/>
          <w:iCs/>
          <w:color w:val="000000"/>
          <w:sz w:val="20"/>
          <w:szCs w:val="23"/>
        </w:rPr>
        <w:t>(nom, prénoms, nom de jeune fille le cas échéant)</w:t>
      </w:r>
      <w:r w:rsidRPr="001446EF">
        <w:rPr>
          <w:rFonts w:ascii="Trebuchet MS" w:hAnsi="Trebuchet MS"/>
          <w:iCs/>
          <w:color w:val="000000"/>
          <w:sz w:val="20"/>
          <w:szCs w:val="23"/>
        </w:rPr>
        <w:t>, qui a donné son consentement à l’apport par acte séparé, dont un original est annexé aux présents statuts. En conséquence, les parts rémunérant cet apport sont indivises entre M. ……… et Mme ……….</w:t>
      </w:r>
    </w:p>
    <w:p w:rsidR="001446EF" w:rsidRPr="001446EF" w:rsidRDefault="001446EF" w:rsidP="001446EF">
      <w:pPr>
        <w:autoSpaceDE w:val="0"/>
        <w:autoSpaceDN w:val="0"/>
        <w:adjustRightInd w:val="0"/>
        <w:spacing w:before="240"/>
        <w:ind w:left="284"/>
        <w:jc w:val="both"/>
        <w:rPr>
          <w:rFonts w:ascii="Trebuchet MS" w:hAnsi="Trebuchet MS"/>
          <w:b/>
          <w:bCs/>
          <w:iCs/>
          <w:color w:val="000000"/>
          <w:sz w:val="20"/>
          <w:szCs w:val="23"/>
        </w:rPr>
      </w:pPr>
      <w:r w:rsidRPr="001446EF">
        <w:rPr>
          <w:rFonts w:ascii="Trebuchet MS" w:hAnsi="Trebuchet MS"/>
          <w:b/>
          <w:bCs/>
          <w:iCs/>
          <w:color w:val="000000"/>
          <w:sz w:val="20"/>
          <w:szCs w:val="23"/>
        </w:rPr>
        <w:lastRenderedPageBreak/>
        <w:t>II. Apports en numéraire</w:t>
      </w:r>
    </w:p>
    <w:p w:rsidR="001446EF" w:rsidRPr="001446EF" w:rsidRDefault="001446EF" w:rsidP="001446EF">
      <w:pPr>
        <w:autoSpaceDE w:val="0"/>
        <w:autoSpaceDN w:val="0"/>
        <w:adjustRightInd w:val="0"/>
        <w:spacing w:before="120"/>
        <w:jc w:val="both"/>
        <w:rPr>
          <w:rFonts w:ascii="Trebuchet MS" w:hAnsi="Trebuchet MS"/>
          <w:bCs/>
          <w:iCs/>
          <w:color w:val="000000"/>
          <w:spacing w:val="-6"/>
          <w:sz w:val="20"/>
          <w:szCs w:val="23"/>
        </w:rPr>
      </w:pPr>
      <w:r w:rsidRPr="001446EF">
        <w:rPr>
          <w:rFonts w:ascii="Trebuchet MS" w:hAnsi="Trebuchet MS"/>
          <w:bCs/>
          <w:iCs/>
          <w:color w:val="000000"/>
          <w:spacing w:val="-6"/>
          <w:sz w:val="20"/>
          <w:szCs w:val="23"/>
        </w:rPr>
        <w:t xml:space="preserve">M. ……… apporte à la société une somme en espèces de ……… euros correspondant à ……… parts, d’un montant </w:t>
      </w:r>
      <w:r w:rsidRPr="001446EF">
        <w:rPr>
          <w:rFonts w:ascii="Trebuchet MS" w:hAnsi="Trebuchet MS"/>
          <w:bCs/>
          <w:iCs/>
          <w:color w:val="000000"/>
          <w:spacing w:val="-6"/>
          <w:sz w:val="20"/>
          <w:szCs w:val="23"/>
        </w:rPr>
        <w:br/>
        <w:t>de ……… euros chacune).</w:t>
      </w:r>
    </w:p>
    <w:p w:rsidR="001446EF" w:rsidRPr="001446EF" w:rsidRDefault="001446EF" w:rsidP="001446EF">
      <w:pPr>
        <w:autoSpaceDE w:val="0"/>
        <w:autoSpaceDN w:val="0"/>
        <w:adjustRightInd w:val="0"/>
        <w:spacing w:before="120"/>
        <w:jc w:val="both"/>
        <w:rPr>
          <w:rFonts w:ascii="Trebuchet MS" w:hAnsi="Trebuchet MS"/>
          <w:bCs/>
          <w:iCs/>
          <w:color w:val="000000"/>
          <w:spacing w:val="-6"/>
          <w:sz w:val="20"/>
          <w:szCs w:val="23"/>
        </w:rPr>
      </w:pPr>
      <w:r w:rsidRPr="001446EF">
        <w:rPr>
          <w:rFonts w:ascii="Trebuchet MS" w:hAnsi="Trebuchet MS"/>
          <w:bCs/>
          <w:iCs/>
          <w:color w:val="000000"/>
          <w:spacing w:val="-6"/>
          <w:sz w:val="20"/>
          <w:szCs w:val="23"/>
        </w:rPr>
        <w:t>Mme ……… apporte à la société une somme en espèces de ……… euros correspondant à ……… parts, d’un montant de ……… euros chacune).</w:t>
      </w:r>
    </w:p>
    <w:p w:rsidR="001446EF" w:rsidRPr="001446EF" w:rsidRDefault="001446EF" w:rsidP="001654AE">
      <w:pPr>
        <w:autoSpaceDE w:val="0"/>
        <w:autoSpaceDN w:val="0"/>
        <w:adjustRightInd w:val="0"/>
        <w:spacing w:before="120"/>
        <w:jc w:val="both"/>
        <w:rPr>
          <w:rFonts w:ascii="Trebuchet MS" w:hAnsi="Trebuchet MS"/>
          <w:bCs/>
          <w:i/>
          <w:iCs/>
          <w:color w:val="000000"/>
          <w:spacing w:val="-6"/>
          <w:sz w:val="20"/>
          <w:szCs w:val="23"/>
        </w:rPr>
      </w:pPr>
      <w:r w:rsidRPr="001446EF">
        <w:rPr>
          <w:rFonts w:ascii="Trebuchet MS" w:hAnsi="Trebuchet MS"/>
          <w:bCs/>
          <w:i/>
          <w:iCs/>
          <w:color w:val="000000"/>
          <w:spacing w:val="-6"/>
          <w:sz w:val="20"/>
          <w:szCs w:val="23"/>
        </w:rPr>
        <w:t>(Lorsque les conjoints apportent des deniers communs ou lorsque l’apporteur apporte des deniers indivis, reprendre, selon les cas, les paragraphes correspondants ci-dessus.)</w:t>
      </w:r>
    </w:p>
    <w:p w:rsidR="001446EF" w:rsidRPr="001446EF" w:rsidRDefault="001446EF" w:rsidP="001446EF">
      <w:pPr>
        <w:autoSpaceDE w:val="0"/>
        <w:autoSpaceDN w:val="0"/>
        <w:adjustRightInd w:val="0"/>
        <w:spacing w:before="200"/>
        <w:jc w:val="both"/>
        <w:rPr>
          <w:rFonts w:ascii="Trebuchet MS" w:hAnsi="Trebuchet MS"/>
          <w:bCs/>
          <w:iCs/>
          <w:color w:val="000000"/>
          <w:spacing w:val="-6"/>
          <w:sz w:val="20"/>
          <w:szCs w:val="23"/>
        </w:rPr>
      </w:pPr>
      <w:r w:rsidRPr="001446EF">
        <w:rPr>
          <w:rFonts w:ascii="Trebuchet MS" w:hAnsi="Trebuchet MS"/>
          <w:bCs/>
          <w:iCs/>
          <w:color w:val="000000"/>
          <w:spacing w:val="-6"/>
          <w:sz w:val="20"/>
          <w:szCs w:val="23"/>
        </w:rPr>
        <w:t xml:space="preserve">Soit ensemble, la somme totale de ……… euros correspondant à ……… parts, d’un montant de ……… euros chacune, </w:t>
      </w:r>
      <w:r w:rsidRPr="001446EF">
        <w:rPr>
          <w:rFonts w:ascii="Trebuchet MS" w:hAnsi="Trebuchet MS"/>
          <w:b/>
          <w:bCs/>
          <w:i/>
          <w:iCs/>
          <w:color w:val="000000"/>
          <w:spacing w:val="-6"/>
          <w:sz w:val="20"/>
          <w:szCs w:val="23"/>
        </w:rPr>
        <w:t>(option)</w:t>
      </w:r>
      <w:r w:rsidRPr="001446EF">
        <w:rPr>
          <w:rFonts w:ascii="Trebuchet MS" w:hAnsi="Trebuchet MS"/>
          <w:bCs/>
          <w:i/>
          <w:iCs/>
          <w:color w:val="000000"/>
          <w:spacing w:val="-6"/>
          <w:sz w:val="20"/>
          <w:szCs w:val="23"/>
        </w:rPr>
        <w:t xml:space="preserve"> </w:t>
      </w:r>
      <w:r w:rsidRPr="001446EF">
        <w:rPr>
          <w:rFonts w:ascii="Trebuchet MS" w:hAnsi="Trebuchet MS"/>
          <w:bCs/>
          <w:iCs/>
          <w:color w:val="000000"/>
          <w:spacing w:val="-6"/>
          <w:sz w:val="20"/>
          <w:szCs w:val="23"/>
        </w:rPr>
        <w:t xml:space="preserve">souscrites en totalité et libérées chacune à concurrence du ……… </w:t>
      </w:r>
      <w:r w:rsidRPr="001446EF">
        <w:rPr>
          <w:rFonts w:ascii="Trebuchet MS" w:hAnsi="Trebuchet MS"/>
          <w:bCs/>
          <w:i/>
          <w:iCs/>
          <w:color w:val="000000"/>
          <w:spacing w:val="-6"/>
          <w:sz w:val="20"/>
          <w:szCs w:val="23"/>
        </w:rPr>
        <w:t>(cinquième, quart, moitié…)</w:t>
      </w:r>
      <w:r w:rsidRPr="001446EF">
        <w:rPr>
          <w:rFonts w:ascii="Trebuchet MS" w:hAnsi="Trebuchet MS"/>
          <w:bCs/>
          <w:iCs/>
          <w:color w:val="000000"/>
          <w:spacing w:val="-6"/>
          <w:sz w:val="20"/>
          <w:szCs w:val="23"/>
        </w:rPr>
        <w:t xml:space="preserve">. </w:t>
      </w:r>
      <w:r w:rsidRPr="001446EF">
        <w:rPr>
          <w:rFonts w:ascii="Trebuchet MS" w:hAnsi="Trebuchet MS"/>
          <w:bCs/>
          <w:iCs/>
          <w:color w:val="000000"/>
          <w:spacing w:val="-6"/>
          <w:sz w:val="20"/>
          <w:szCs w:val="23"/>
        </w:rPr>
        <w:br/>
        <w:t xml:space="preserve">La libération du surplus, à laquelle chaque associé s’oblige, interviendra en une ou plusieurs fois sur décision </w:t>
      </w:r>
      <w:r w:rsidRPr="001446EF">
        <w:rPr>
          <w:rFonts w:ascii="Trebuchet MS" w:hAnsi="Trebuchet MS"/>
          <w:bCs/>
          <w:iCs/>
          <w:color w:val="000000"/>
          <w:spacing w:val="-6"/>
          <w:sz w:val="20"/>
          <w:szCs w:val="23"/>
        </w:rPr>
        <w:br/>
        <w:t>du gérant.</w:t>
      </w:r>
    </w:p>
    <w:p w:rsidR="001446EF" w:rsidRPr="001446EF" w:rsidRDefault="001446EF" w:rsidP="001446EF">
      <w:pPr>
        <w:autoSpaceDE w:val="0"/>
        <w:autoSpaceDN w:val="0"/>
        <w:adjustRightInd w:val="0"/>
        <w:spacing w:before="120"/>
        <w:jc w:val="both"/>
        <w:rPr>
          <w:rFonts w:ascii="Trebuchet MS" w:hAnsi="Trebuchet MS"/>
          <w:bCs/>
          <w:iCs/>
          <w:color w:val="000000"/>
          <w:spacing w:val="-6"/>
          <w:sz w:val="20"/>
          <w:szCs w:val="23"/>
        </w:rPr>
      </w:pPr>
      <w:r w:rsidRPr="001446EF">
        <w:rPr>
          <w:rFonts w:ascii="Trebuchet MS" w:hAnsi="Trebuchet MS"/>
          <w:bCs/>
          <w:iCs/>
          <w:color w:val="000000"/>
          <w:spacing w:val="-6"/>
          <w:sz w:val="20"/>
          <w:szCs w:val="23"/>
        </w:rPr>
        <w:t xml:space="preserve">Cette somme de ……… euros a été, dès avant ce jour, déposée à un compte ouvert au nom de la société </w:t>
      </w:r>
      <w:r w:rsidRPr="001446EF">
        <w:rPr>
          <w:rFonts w:ascii="Trebuchet MS" w:hAnsi="Trebuchet MS"/>
          <w:bCs/>
          <w:iCs/>
          <w:color w:val="000000"/>
          <w:spacing w:val="-6"/>
          <w:sz w:val="20"/>
          <w:szCs w:val="23"/>
        </w:rPr>
        <w:br/>
        <w:t xml:space="preserve">en formation sous le numéro ……… </w:t>
      </w:r>
      <w:r w:rsidRPr="001446EF">
        <w:rPr>
          <w:rFonts w:ascii="Trebuchet MS" w:hAnsi="Trebuchet MS"/>
          <w:b/>
          <w:bCs/>
          <w:i/>
          <w:iCs/>
          <w:color w:val="000000"/>
          <w:spacing w:val="-6"/>
          <w:sz w:val="20"/>
          <w:szCs w:val="23"/>
        </w:rPr>
        <w:t>(option)</w:t>
      </w:r>
      <w:r w:rsidRPr="001446EF">
        <w:rPr>
          <w:rFonts w:ascii="Trebuchet MS" w:hAnsi="Trebuchet MS"/>
          <w:bCs/>
          <w:i/>
          <w:iCs/>
          <w:color w:val="000000"/>
          <w:spacing w:val="-6"/>
          <w:sz w:val="20"/>
          <w:szCs w:val="23"/>
        </w:rPr>
        <w:t xml:space="preserve"> </w:t>
      </w:r>
      <w:r w:rsidRPr="001446EF">
        <w:rPr>
          <w:rFonts w:ascii="Trebuchet MS" w:hAnsi="Trebuchet MS"/>
          <w:bCs/>
          <w:iCs/>
          <w:color w:val="000000"/>
          <w:spacing w:val="-6"/>
          <w:sz w:val="20"/>
          <w:szCs w:val="23"/>
        </w:rPr>
        <w:t xml:space="preserve">à la banque …………, </w:t>
      </w:r>
      <w:r w:rsidRPr="001446EF">
        <w:rPr>
          <w:rFonts w:ascii="Trebuchet MS" w:hAnsi="Trebuchet MS"/>
          <w:b/>
          <w:bCs/>
          <w:i/>
          <w:iCs/>
          <w:color w:val="000000"/>
          <w:spacing w:val="-6"/>
          <w:sz w:val="20"/>
          <w:szCs w:val="23"/>
        </w:rPr>
        <w:t>(ou)</w:t>
      </w:r>
      <w:r w:rsidRPr="001446EF">
        <w:rPr>
          <w:rFonts w:ascii="Trebuchet MS" w:hAnsi="Trebuchet MS"/>
          <w:bCs/>
          <w:iCs/>
          <w:color w:val="000000"/>
          <w:spacing w:val="-6"/>
          <w:sz w:val="20"/>
          <w:szCs w:val="23"/>
        </w:rPr>
        <w:t xml:space="preserve"> chez Me ………, notaire à ………, </w:t>
      </w:r>
      <w:r w:rsidRPr="001446EF">
        <w:rPr>
          <w:rFonts w:ascii="Trebuchet MS" w:hAnsi="Trebuchet MS"/>
          <w:bCs/>
          <w:iCs/>
          <w:color w:val="000000"/>
          <w:spacing w:val="-6"/>
          <w:sz w:val="20"/>
          <w:szCs w:val="23"/>
        </w:rPr>
        <w:br/>
      </w:r>
      <w:r w:rsidRPr="001446EF">
        <w:rPr>
          <w:rFonts w:ascii="Trebuchet MS" w:hAnsi="Trebuchet MS"/>
          <w:b/>
          <w:bCs/>
          <w:i/>
          <w:iCs/>
          <w:color w:val="000000"/>
          <w:spacing w:val="-6"/>
          <w:sz w:val="20"/>
          <w:szCs w:val="23"/>
        </w:rPr>
        <w:t>(ou)</w:t>
      </w:r>
      <w:r w:rsidRPr="001446EF">
        <w:rPr>
          <w:rFonts w:ascii="Trebuchet MS" w:hAnsi="Trebuchet MS"/>
          <w:bCs/>
          <w:iCs/>
          <w:color w:val="000000"/>
          <w:spacing w:val="-6"/>
          <w:sz w:val="20"/>
          <w:szCs w:val="23"/>
        </w:rPr>
        <w:t xml:space="preserve"> à la Caisse des dépôts et consignations.</w:t>
      </w:r>
    </w:p>
    <w:p w:rsidR="001446EF" w:rsidRPr="001446EF" w:rsidRDefault="001446EF" w:rsidP="001446EF">
      <w:pPr>
        <w:autoSpaceDE w:val="0"/>
        <w:autoSpaceDN w:val="0"/>
        <w:adjustRightInd w:val="0"/>
        <w:spacing w:before="240"/>
        <w:ind w:left="284"/>
        <w:jc w:val="both"/>
        <w:rPr>
          <w:rFonts w:ascii="Trebuchet MS" w:hAnsi="Trebuchet MS"/>
          <w:b/>
          <w:bCs/>
          <w:iCs/>
          <w:color w:val="000000"/>
          <w:sz w:val="20"/>
          <w:szCs w:val="23"/>
        </w:rPr>
      </w:pPr>
      <w:r w:rsidRPr="001446EF">
        <w:rPr>
          <w:rFonts w:ascii="Trebuchet MS" w:hAnsi="Trebuchet MS"/>
          <w:b/>
          <w:bCs/>
          <w:iCs/>
          <w:color w:val="000000"/>
          <w:sz w:val="20"/>
          <w:szCs w:val="23"/>
        </w:rPr>
        <w:t>III. Apports en industrie</w:t>
      </w:r>
    </w:p>
    <w:p w:rsidR="001446EF" w:rsidRPr="001446EF" w:rsidRDefault="001446EF" w:rsidP="001446EF">
      <w:pPr>
        <w:autoSpaceDE w:val="0"/>
        <w:autoSpaceDN w:val="0"/>
        <w:adjustRightInd w:val="0"/>
        <w:spacing w:before="120"/>
        <w:jc w:val="both"/>
        <w:rPr>
          <w:rFonts w:ascii="Trebuchet MS" w:hAnsi="Trebuchet MS"/>
          <w:bCs/>
          <w:i/>
          <w:iCs/>
          <w:color w:val="000000"/>
          <w:sz w:val="20"/>
          <w:szCs w:val="23"/>
        </w:rPr>
      </w:pPr>
      <w:r w:rsidRPr="001446EF">
        <w:rPr>
          <w:rFonts w:ascii="Trebuchet MS" w:hAnsi="Trebuchet MS"/>
          <w:bCs/>
          <w:i/>
          <w:iCs/>
          <w:color w:val="000000"/>
          <w:sz w:val="20"/>
          <w:szCs w:val="23"/>
        </w:rPr>
        <w:t>(Description) :</w:t>
      </w:r>
    </w:p>
    <w:p w:rsidR="001446EF" w:rsidRPr="001446EF" w:rsidRDefault="001446EF" w:rsidP="001446EF">
      <w:pPr>
        <w:tabs>
          <w:tab w:val="right" w:leader="dot" w:pos="9639"/>
        </w:tabs>
        <w:autoSpaceDE w:val="0"/>
        <w:autoSpaceDN w:val="0"/>
        <w:adjustRightInd w:val="0"/>
        <w:spacing w:before="120"/>
        <w:jc w:val="both"/>
        <w:rPr>
          <w:rFonts w:ascii="Arial" w:hAnsi="Arial" w:cs="Arial"/>
          <w:bCs/>
          <w:iCs/>
          <w:color w:val="000000"/>
          <w:sz w:val="20"/>
          <w:szCs w:val="23"/>
        </w:rPr>
      </w:pPr>
      <w:r w:rsidRPr="001446EF">
        <w:rPr>
          <w:rFonts w:ascii="Arial" w:hAnsi="Arial" w:cs="Arial"/>
          <w:bCs/>
          <w:iCs/>
          <w:color w:val="000000"/>
          <w:sz w:val="20"/>
          <w:szCs w:val="23"/>
        </w:rPr>
        <w:tab/>
      </w:r>
    </w:p>
    <w:p w:rsidR="001446EF" w:rsidRPr="001446EF" w:rsidRDefault="001446EF" w:rsidP="001446EF">
      <w:pPr>
        <w:tabs>
          <w:tab w:val="right" w:leader="dot" w:pos="9639"/>
        </w:tabs>
        <w:autoSpaceDE w:val="0"/>
        <w:autoSpaceDN w:val="0"/>
        <w:adjustRightInd w:val="0"/>
        <w:spacing w:before="120"/>
        <w:jc w:val="both"/>
        <w:rPr>
          <w:rFonts w:ascii="Arial" w:hAnsi="Arial" w:cs="Arial"/>
          <w:bCs/>
          <w:iCs/>
          <w:color w:val="000000"/>
          <w:sz w:val="20"/>
          <w:szCs w:val="23"/>
        </w:rPr>
      </w:pPr>
      <w:r w:rsidRPr="001446EF">
        <w:rPr>
          <w:rFonts w:ascii="Arial" w:hAnsi="Arial" w:cs="Arial"/>
          <w:bCs/>
          <w:iCs/>
          <w:color w:val="000000"/>
          <w:sz w:val="20"/>
          <w:szCs w:val="23"/>
        </w:rPr>
        <w:tab/>
      </w:r>
    </w:p>
    <w:p w:rsidR="001446EF" w:rsidRPr="001446EF" w:rsidRDefault="001446EF" w:rsidP="001446EF">
      <w:pPr>
        <w:tabs>
          <w:tab w:val="right" w:leader="dot" w:pos="9639"/>
        </w:tabs>
        <w:autoSpaceDE w:val="0"/>
        <w:autoSpaceDN w:val="0"/>
        <w:adjustRightInd w:val="0"/>
        <w:spacing w:before="120"/>
        <w:jc w:val="both"/>
        <w:rPr>
          <w:rFonts w:ascii="Trebuchet MS" w:hAnsi="Trebuchet MS"/>
          <w:bCs/>
          <w:iCs/>
          <w:color w:val="000000"/>
          <w:spacing w:val="-4"/>
          <w:sz w:val="20"/>
          <w:szCs w:val="23"/>
        </w:rPr>
      </w:pPr>
      <w:r w:rsidRPr="001446EF">
        <w:rPr>
          <w:rFonts w:ascii="Trebuchet MS" w:hAnsi="Trebuchet MS"/>
          <w:bCs/>
          <w:iCs/>
          <w:color w:val="000000"/>
          <w:spacing w:val="-4"/>
          <w:sz w:val="20"/>
          <w:szCs w:val="23"/>
        </w:rPr>
        <w:t xml:space="preserve">M. ……… apporte son industrie à la société et reçoit, en rémunération de ces prestations, ……… parts ouvrant droit au partage des bénéfices et de l’actif net, à hauteur de ……… %, à charge de contribuer aux pertes </w:t>
      </w:r>
      <w:r w:rsidRPr="001446EF">
        <w:rPr>
          <w:rFonts w:ascii="Trebuchet MS" w:hAnsi="Trebuchet MS"/>
          <w:bCs/>
          <w:iCs/>
          <w:color w:val="000000"/>
          <w:spacing w:val="-4"/>
          <w:sz w:val="20"/>
          <w:szCs w:val="23"/>
        </w:rPr>
        <w:br/>
        <w:t>selon les dispositions suivantes :</w:t>
      </w:r>
    </w:p>
    <w:p w:rsidR="001446EF" w:rsidRPr="001446EF" w:rsidRDefault="001446EF" w:rsidP="001446EF">
      <w:pPr>
        <w:tabs>
          <w:tab w:val="right" w:leader="dot" w:pos="9639"/>
        </w:tabs>
        <w:autoSpaceDE w:val="0"/>
        <w:autoSpaceDN w:val="0"/>
        <w:adjustRightInd w:val="0"/>
        <w:spacing w:before="120"/>
        <w:jc w:val="both"/>
        <w:rPr>
          <w:rFonts w:ascii="Arial" w:hAnsi="Arial" w:cs="Arial"/>
          <w:bCs/>
          <w:iCs/>
          <w:color w:val="000000"/>
          <w:sz w:val="20"/>
          <w:szCs w:val="23"/>
        </w:rPr>
      </w:pPr>
      <w:r w:rsidRPr="001446EF">
        <w:rPr>
          <w:rFonts w:ascii="Arial" w:hAnsi="Arial" w:cs="Arial"/>
          <w:bCs/>
          <w:iCs/>
          <w:color w:val="000000"/>
          <w:sz w:val="20"/>
          <w:szCs w:val="23"/>
        </w:rPr>
        <w:tab/>
      </w:r>
    </w:p>
    <w:p w:rsidR="001446EF" w:rsidRPr="001446EF" w:rsidRDefault="001446EF" w:rsidP="001446EF">
      <w:pPr>
        <w:tabs>
          <w:tab w:val="right" w:leader="dot" w:pos="9639"/>
        </w:tabs>
        <w:autoSpaceDE w:val="0"/>
        <w:autoSpaceDN w:val="0"/>
        <w:adjustRightInd w:val="0"/>
        <w:spacing w:before="120"/>
        <w:jc w:val="both"/>
        <w:rPr>
          <w:rFonts w:ascii="Arial" w:hAnsi="Arial" w:cs="Arial"/>
          <w:bCs/>
          <w:iCs/>
          <w:color w:val="000000"/>
          <w:sz w:val="20"/>
          <w:szCs w:val="23"/>
        </w:rPr>
      </w:pPr>
      <w:r w:rsidRPr="001446EF">
        <w:rPr>
          <w:rFonts w:ascii="Arial" w:hAnsi="Arial" w:cs="Arial"/>
          <w:bCs/>
          <w:iCs/>
          <w:color w:val="000000"/>
          <w:sz w:val="20"/>
          <w:szCs w:val="23"/>
        </w:rPr>
        <w:tab/>
      </w:r>
    </w:p>
    <w:p w:rsidR="001446EF" w:rsidRPr="001446EF" w:rsidRDefault="001446EF" w:rsidP="001446EF">
      <w:pPr>
        <w:tabs>
          <w:tab w:val="right" w:leader="dot" w:pos="9639"/>
        </w:tabs>
        <w:autoSpaceDE w:val="0"/>
        <w:autoSpaceDN w:val="0"/>
        <w:adjustRightInd w:val="0"/>
        <w:spacing w:before="120"/>
        <w:jc w:val="both"/>
        <w:rPr>
          <w:rFonts w:ascii="Arial" w:hAnsi="Arial" w:cs="Arial"/>
          <w:bCs/>
          <w:iCs/>
          <w:color w:val="000000"/>
          <w:sz w:val="20"/>
          <w:szCs w:val="23"/>
        </w:rPr>
      </w:pPr>
      <w:r w:rsidRPr="001446EF">
        <w:rPr>
          <w:rFonts w:ascii="Trebuchet MS" w:hAnsi="Trebuchet MS"/>
          <w:bCs/>
          <w:iCs/>
          <w:color w:val="000000"/>
          <w:sz w:val="20"/>
          <w:szCs w:val="23"/>
        </w:rPr>
        <w:t xml:space="preserve">M. ……… exercera ces prestations dans les conditions suivantes : </w:t>
      </w:r>
      <w:r w:rsidRPr="001446EF">
        <w:rPr>
          <w:rFonts w:ascii="Arial" w:hAnsi="Arial" w:cs="Arial"/>
          <w:bCs/>
          <w:iCs/>
          <w:color w:val="000000"/>
          <w:sz w:val="20"/>
          <w:szCs w:val="23"/>
        </w:rPr>
        <w:tab/>
      </w:r>
    </w:p>
    <w:p w:rsidR="001446EF" w:rsidRPr="001446EF" w:rsidRDefault="001446EF" w:rsidP="001446EF">
      <w:pPr>
        <w:tabs>
          <w:tab w:val="right" w:leader="dot" w:pos="9639"/>
        </w:tabs>
        <w:autoSpaceDE w:val="0"/>
        <w:autoSpaceDN w:val="0"/>
        <w:adjustRightInd w:val="0"/>
        <w:spacing w:before="120"/>
        <w:jc w:val="both"/>
        <w:rPr>
          <w:rFonts w:ascii="Arial" w:hAnsi="Arial" w:cs="Arial"/>
          <w:bCs/>
          <w:iCs/>
          <w:color w:val="000000"/>
          <w:sz w:val="20"/>
          <w:szCs w:val="23"/>
        </w:rPr>
      </w:pPr>
      <w:r w:rsidRPr="001446EF">
        <w:rPr>
          <w:rFonts w:ascii="Arial" w:hAnsi="Arial" w:cs="Arial"/>
          <w:bCs/>
          <w:iCs/>
          <w:color w:val="000000"/>
          <w:sz w:val="20"/>
          <w:szCs w:val="23"/>
        </w:rPr>
        <w:tab/>
      </w:r>
    </w:p>
    <w:p w:rsidR="001446EF" w:rsidRPr="001446EF" w:rsidRDefault="001446EF" w:rsidP="001446EF">
      <w:pPr>
        <w:autoSpaceDE w:val="0"/>
        <w:autoSpaceDN w:val="0"/>
        <w:adjustRightInd w:val="0"/>
        <w:spacing w:before="120"/>
        <w:jc w:val="both"/>
        <w:rPr>
          <w:rFonts w:ascii="Trebuchet MS" w:hAnsi="Trebuchet MS"/>
          <w:bCs/>
          <w:iCs/>
          <w:color w:val="000000"/>
          <w:sz w:val="20"/>
          <w:szCs w:val="23"/>
        </w:rPr>
      </w:pPr>
      <w:r w:rsidRPr="001446EF">
        <w:rPr>
          <w:rFonts w:ascii="Trebuchet MS" w:hAnsi="Trebuchet MS"/>
          <w:bCs/>
          <w:iCs/>
          <w:color w:val="000000"/>
          <w:sz w:val="20"/>
          <w:szCs w:val="23"/>
        </w:rPr>
        <w:t>Les parts en industrie ne font pas partie du capital social. Elles ne sont pas cessibles.</w:t>
      </w:r>
    </w:p>
    <w:p w:rsidR="001446EF" w:rsidRPr="001446EF" w:rsidRDefault="001446EF" w:rsidP="001446EF">
      <w:pPr>
        <w:autoSpaceDE w:val="0"/>
        <w:autoSpaceDN w:val="0"/>
        <w:adjustRightInd w:val="0"/>
        <w:spacing w:before="240"/>
        <w:ind w:left="284"/>
        <w:jc w:val="both"/>
        <w:rPr>
          <w:rFonts w:ascii="Trebuchet MS" w:hAnsi="Trebuchet MS"/>
          <w:b/>
          <w:bCs/>
          <w:iCs/>
          <w:color w:val="000000"/>
          <w:sz w:val="20"/>
          <w:szCs w:val="23"/>
        </w:rPr>
      </w:pPr>
      <w:r w:rsidRPr="001446EF">
        <w:rPr>
          <w:rFonts w:ascii="Trebuchet MS" w:hAnsi="Trebuchet MS"/>
          <w:b/>
          <w:bCs/>
          <w:iCs/>
          <w:color w:val="000000"/>
          <w:sz w:val="20"/>
          <w:szCs w:val="23"/>
        </w:rPr>
        <w:t>IV. Récapitulation</w:t>
      </w:r>
    </w:p>
    <w:p w:rsidR="001446EF" w:rsidRPr="001446EF" w:rsidRDefault="001446EF" w:rsidP="001446EF">
      <w:pPr>
        <w:autoSpaceDE w:val="0"/>
        <w:autoSpaceDN w:val="0"/>
        <w:adjustRightInd w:val="0"/>
        <w:spacing w:before="120"/>
        <w:jc w:val="both"/>
        <w:rPr>
          <w:rFonts w:ascii="Trebuchet MS" w:hAnsi="Trebuchet MS"/>
          <w:bCs/>
          <w:iCs/>
          <w:color w:val="000000"/>
          <w:sz w:val="20"/>
          <w:szCs w:val="23"/>
        </w:rPr>
      </w:pPr>
      <w:r w:rsidRPr="001446EF">
        <w:rPr>
          <w:rFonts w:ascii="Trebuchet MS" w:hAnsi="Trebuchet MS"/>
          <w:bCs/>
          <w:iCs/>
          <w:color w:val="000000"/>
          <w:sz w:val="20"/>
          <w:szCs w:val="23"/>
        </w:rPr>
        <w:t>Les apports en nature représentent une valeur nette de ……… euros.</w:t>
      </w:r>
    </w:p>
    <w:p w:rsidR="001446EF" w:rsidRPr="001446EF" w:rsidRDefault="001446EF" w:rsidP="001446EF">
      <w:pPr>
        <w:autoSpaceDE w:val="0"/>
        <w:autoSpaceDN w:val="0"/>
        <w:adjustRightInd w:val="0"/>
        <w:spacing w:before="120"/>
        <w:jc w:val="both"/>
        <w:rPr>
          <w:rFonts w:ascii="Trebuchet MS" w:hAnsi="Trebuchet MS"/>
          <w:bCs/>
          <w:iCs/>
          <w:color w:val="000000"/>
          <w:sz w:val="20"/>
          <w:szCs w:val="23"/>
        </w:rPr>
      </w:pPr>
      <w:r w:rsidRPr="001446EF">
        <w:rPr>
          <w:rFonts w:ascii="Trebuchet MS" w:hAnsi="Trebuchet MS"/>
          <w:bCs/>
          <w:iCs/>
          <w:color w:val="000000"/>
          <w:sz w:val="20"/>
          <w:szCs w:val="23"/>
        </w:rPr>
        <w:t>Les apports en numéraire s’élèvent à la somme de ……… euros.</w:t>
      </w:r>
    </w:p>
    <w:p w:rsidR="001446EF" w:rsidRPr="001446EF" w:rsidRDefault="001446EF" w:rsidP="001446EF">
      <w:pPr>
        <w:autoSpaceDE w:val="0"/>
        <w:autoSpaceDN w:val="0"/>
        <w:adjustRightInd w:val="0"/>
        <w:spacing w:before="120"/>
        <w:jc w:val="both"/>
        <w:rPr>
          <w:rFonts w:ascii="Trebuchet MS" w:hAnsi="Trebuchet MS"/>
          <w:bCs/>
          <w:iCs/>
          <w:color w:val="000000"/>
          <w:sz w:val="20"/>
          <w:szCs w:val="23"/>
        </w:rPr>
      </w:pPr>
      <w:r w:rsidRPr="001446EF">
        <w:rPr>
          <w:rFonts w:ascii="Trebuchet MS" w:hAnsi="Trebuchet MS"/>
          <w:bCs/>
          <w:iCs/>
          <w:color w:val="000000"/>
          <w:sz w:val="20"/>
          <w:szCs w:val="23"/>
        </w:rPr>
        <w:t>Total égal au capital social : ……… euros.</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7 - Capital social - Répartition des parts- Liste des associés</w:t>
      </w:r>
    </w:p>
    <w:p w:rsidR="001446EF" w:rsidRPr="001446EF" w:rsidRDefault="001446EF" w:rsidP="001446EF">
      <w:pPr>
        <w:autoSpaceDE w:val="0"/>
        <w:autoSpaceDN w:val="0"/>
        <w:adjustRightInd w:val="0"/>
        <w:spacing w:before="200"/>
        <w:jc w:val="both"/>
        <w:rPr>
          <w:rFonts w:ascii="Trebuchet MS" w:hAnsi="Trebuchet MS"/>
          <w:iCs/>
          <w:color w:val="000000"/>
          <w:sz w:val="20"/>
          <w:szCs w:val="23"/>
        </w:rPr>
      </w:pPr>
      <w:r w:rsidRPr="001446EF">
        <w:rPr>
          <w:rFonts w:ascii="Trebuchet MS" w:hAnsi="Trebuchet MS"/>
          <w:iCs/>
          <w:color w:val="000000"/>
          <w:sz w:val="20"/>
          <w:szCs w:val="23"/>
        </w:rPr>
        <w:t>Le capital social est fixé à la somme de ……… euros.</w:t>
      </w:r>
    </w:p>
    <w:p w:rsidR="001446EF" w:rsidRPr="001446EF" w:rsidRDefault="001446EF" w:rsidP="001446EF">
      <w:pPr>
        <w:autoSpaceDE w:val="0"/>
        <w:autoSpaceDN w:val="0"/>
        <w:adjustRightInd w:val="0"/>
        <w:spacing w:before="200"/>
        <w:jc w:val="both"/>
        <w:rPr>
          <w:rFonts w:ascii="Trebuchet MS" w:hAnsi="Trebuchet MS"/>
          <w:iCs/>
          <w:color w:val="000000"/>
          <w:spacing w:val="-4"/>
          <w:sz w:val="20"/>
          <w:szCs w:val="23"/>
        </w:rPr>
      </w:pPr>
      <w:r w:rsidRPr="001446EF">
        <w:rPr>
          <w:rFonts w:ascii="Trebuchet MS" w:hAnsi="Trebuchet MS"/>
          <w:iCs/>
          <w:color w:val="000000"/>
          <w:sz w:val="20"/>
          <w:szCs w:val="23"/>
        </w:rPr>
        <w:t>Il est divisé en ……… parts</w:t>
      </w:r>
      <w:r w:rsidRPr="001446EF">
        <w:rPr>
          <w:rFonts w:ascii="Trebuchet MS" w:hAnsi="Trebuchet MS"/>
          <w:i/>
          <w:iCs/>
          <w:color w:val="000000"/>
          <w:sz w:val="20"/>
          <w:szCs w:val="23"/>
        </w:rPr>
        <w:t xml:space="preserve"> </w:t>
      </w:r>
      <w:r w:rsidRPr="001446EF">
        <w:rPr>
          <w:rFonts w:ascii="Trebuchet MS" w:hAnsi="Trebuchet MS"/>
          <w:iCs/>
          <w:color w:val="000000"/>
          <w:sz w:val="20"/>
          <w:szCs w:val="23"/>
        </w:rPr>
        <w:t xml:space="preserve">de ……… euros chacune, intégralement libérées </w:t>
      </w:r>
      <w:r w:rsidRPr="001446EF">
        <w:rPr>
          <w:rFonts w:ascii="Trebuchet MS" w:hAnsi="Trebuchet MS"/>
          <w:i/>
          <w:iCs/>
          <w:color w:val="000000"/>
          <w:sz w:val="20"/>
          <w:szCs w:val="23"/>
        </w:rPr>
        <w:t>(</w:t>
      </w:r>
      <w:r w:rsidRPr="001446EF">
        <w:rPr>
          <w:rFonts w:ascii="Trebuchet MS" w:hAnsi="Trebuchet MS"/>
          <w:b/>
          <w:i/>
          <w:iCs/>
          <w:color w:val="000000"/>
          <w:sz w:val="20"/>
          <w:szCs w:val="23"/>
        </w:rPr>
        <w:t>ou </w:t>
      </w:r>
      <w:r w:rsidRPr="001446EF">
        <w:rPr>
          <w:rFonts w:ascii="Trebuchet MS" w:hAnsi="Trebuchet MS"/>
          <w:i/>
          <w:iCs/>
          <w:color w:val="000000"/>
          <w:sz w:val="20"/>
          <w:szCs w:val="23"/>
        </w:rPr>
        <w:t>:</w:t>
      </w:r>
      <w:r w:rsidRPr="001446EF">
        <w:rPr>
          <w:rFonts w:ascii="Trebuchet MS" w:hAnsi="Trebuchet MS"/>
          <w:iCs/>
          <w:color w:val="000000"/>
          <w:sz w:val="20"/>
          <w:szCs w:val="23"/>
        </w:rPr>
        <w:t xml:space="preserve"> libérées à concurrence </w:t>
      </w:r>
      <w:r w:rsidRPr="001446EF">
        <w:rPr>
          <w:rFonts w:ascii="Trebuchet MS" w:hAnsi="Trebuchet MS"/>
          <w:iCs/>
          <w:color w:val="000000"/>
          <w:sz w:val="20"/>
          <w:szCs w:val="23"/>
        </w:rPr>
        <w:br/>
      </w:r>
      <w:r w:rsidRPr="001446EF">
        <w:rPr>
          <w:rFonts w:ascii="Trebuchet MS" w:hAnsi="Trebuchet MS"/>
          <w:iCs/>
          <w:color w:val="000000"/>
          <w:spacing w:val="-4"/>
          <w:sz w:val="20"/>
          <w:szCs w:val="23"/>
        </w:rPr>
        <w:t>de ………) souscrites en totalité par les associés et attribuées à chacun d’eux, en proportion de leurs apports respectifs, de la manière suivante :</w:t>
      </w:r>
    </w:p>
    <w:p w:rsidR="001446EF" w:rsidRPr="001446EF" w:rsidRDefault="001446EF" w:rsidP="001446EF">
      <w:pPr>
        <w:numPr>
          <w:ilvl w:val="0"/>
          <w:numId w:val="6"/>
        </w:numPr>
        <w:tabs>
          <w:tab w:val="clear" w:pos="720"/>
          <w:tab w:val="num" w:pos="284"/>
        </w:tabs>
        <w:overflowPunct w:val="0"/>
        <w:autoSpaceDE w:val="0"/>
        <w:autoSpaceDN w:val="0"/>
        <w:adjustRightInd w:val="0"/>
        <w:spacing w:before="120" w:line="276" w:lineRule="auto"/>
        <w:ind w:left="284" w:hanging="284"/>
        <w:jc w:val="both"/>
        <w:textAlignment w:val="baseline"/>
        <w:rPr>
          <w:rFonts w:ascii="Trebuchet MS" w:hAnsi="Trebuchet MS"/>
          <w:sz w:val="20"/>
          <w:szCs w:val="20"/>
        </w:rPr>
      </w:pPr>
      <w:r w:rsidRPr="001446EF">
        <w:rPr>
          <w:rFonts w:ascii="Trebuchet MS" w:hAnsi="Trebuchet MS"/>
          <w:sz w:val="20"/>
          <w:szCs w:val="20"/>
        </w:rPr>
        <w:t>à M. ………, ……… parts sociales, numérotées de …… à …… inclus, soit …… parts ;</w:t>
      </w:r>
    </w:p>
    <w:p w:rsidR="001446EF" w:rsidRPr="001446EF" w:rsidRDefault="001446EF" w:rsidP="001446EF">
      <w:pPr>
        <w:numPr>
          <w:ilvl w:val="0"/>
          <w:numId w:val="6"/>
        </w:numPr>
        <w:tabs>
          <w:tab w:val="clear" w:pos="720"/>
          <w:tab w:val="num" w:pos="284"/>
        </w:tabs>
        <w:overflowPunct w:val="0"/>
        <w:autoSpaceDE w:val="0"/>
        <w:autoSpaceDN w:val="0"/>
        <w:adjustRightInd w:val="0"/>
        <w:spacing w:before="120" w:line="276" w:lineRule="auto"/>
        <w:ind w:left="284" w:hanging="284"/>
        <w:jc w:val="both"/>
        <w:textAlignment w:val="baseline"/>
        <w:rPr>
          <w:rFonts w:ascii="Trebuchet MS" w:hAnsi="Trebuchet MS"/>
          <w:sz w:val="20"/>
          <w:szCs w:val="20"/>
        </w:rPr>
      </w:pPr>
      <w:r w:rsidRPr="001446EF">
        <w:rPr>
          <w:rFonts w:ascii="Trebuchet MS" w:hAnsi="Trebuchet MS"/>
          <w:sz w:val="20"/>
          <w:szCs w:val="20"/>
        </w:rPr>
        <w:t>à M. ………, ……… parts sociales, numérotées …… à …… inclus, soit …… parts ;</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Total du nombre de parts sociales composant le capital social : ……… parts,</w:t>
      </w:r>
    </w:p>
    <w:p w:rsidR="001446EF" w:rsidRPr="001446EF" w:rsidRDefault="001446EF" w:rsidP="001446EF">
      <w:pPr>
        <w:autoSpaceDE w:val="0"/>
        <w:autoSpaceDN w:val="0"/>
        <w:adjustRightInd w:val="0"/>
        <w:spacing w:before="120"/>
        <w:jc w:val="both"/>
        <w:rPr>
          <w:rFonts w:ascii="Trebuchet MS" w:hAnsi="Trebuchet MS"/>
          <w:bCs/>
          <w:color w:val="000000"/>
          <w:sz w:val="20"/>
          <w:szCs w:val="23"/>
        </w:rPr>
      </w:pPr>
      <w:r w:rsidRPr="001446EF">
        <w:rPr>
          <w:rFonts w:ascii="Trebuchet MS" w:hAnsi="Trebuchet MS"/>
          <w:bCs/>
          <w:iCs/>
          <w:color w:val="000000"/>
          <w:sz w:val="20"/>
          <w:szCs w:val="23"/>
        </w:rPr>
        <w:t xml:space="preserve">soit </w:t>
      </w:r>
      <w:r w:rsidRPr="001446EF">
        <w:rPr>
          <w:rFonts w:ascii="Trebuchet MS" w:hAnsi="Trebuchet MS"/>
          <w:bCs/>
          <w:i/>
          <w:iCs/>
          <w:color w:val="000000"/>
          <w:sz w:val="20"/>
          <w:szCs w:val="23"/>
        </w:rPr>
        <w:t>(en lettres)</w:t>
      </w:r>
      <w:r w:rsidRPr="001446EF">
        <w:rPr>
          <w:rFonts w:ascii="Trebuchet MS" w:hAnsi="Trebuchet MS"/>
          <w:bCs/>
          <w:iCs/>
          <w:color w:val="000000"/>
          <w:sz w:val="20"/>
          <w:szCs w:val="23"/>
        </w:rPr>
        <w:t xml:space="preserve"> ……………………… parts.</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 xml:space="preserve">Les soussignés déclarent expressément que toutes les parts représentant le capital social leur appartiennent, sont réparties entre eux dans les proportions indiquées ci-dessus, correspondant à leurs apports respectifs, </w:t>
      </w:r>
      <w:r w:rsidRPr="001446EF">
        <w:rPr>
          <w:rFonts w:ascii="Trebuchet MS" w:hAnsi="Trebuchet MS"/>
          <w:iCs/>
          <w:color w:val="000000"/>
          <w:spacing w:val="-4"/>
          <w:sz w:val="20"/>
          <w:szCs w:val="23"/>
        </w:rPr>
        <w:br/>
        <w:t>et sont libérées selon les modalités ci-dessus.</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lastRenderedPageBreak/>
        <w:t xml:space="preserve">La société membre de l’Ordre communique annuellement aux conseils de l’Ordre dont elle relève la liste </w:t>
      </w:r>
      <w:r w:rsidRPr="001446EF">
        <w:rPr>
          <w:rFonts w:ascii="Trebuchet MS" w:hAnsi="Trebuchet MS"/>
          <w:iCs/>
          <w:color w:val="000000"/>
          <w:spacing w:val="-4"/>
          <w:sz w:val="20"/>
          <w:szCs w:val="23"/>
        </w:rPr>
        <w:br/>
        <w:t>de ses associés ainsi que toute modification apportée à cette liste.</w:t>
      </w:r>
    </w:p>
    <w:p w:rsidR="001446EF" w:rsidRPr="001446EF" w:rsidRDefault="001446EF" w:rsidP="00176D70">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 xml:space="preserve">En cas de retrait ou d’entrée d’associés ou de modification dans la composition  des organes de gestion, </w:t>
      </w:r>
      <w:r w:rsidRPr="001446EF">
        <w:rPr>
          <w:rFonts w:ascii="Trebuchet MS" w:hAnsi="Trebuchet MS"/>
          <w:iCs/>
          <w:color w:val="000000"/>
          <w:spacing w:val="-4"/>
          <w:sz w:val="20"/>
          <w:szCs w:val="23"/>
        </w:rPr>
        <w:br/>
        <w:t>de direction et d’administration, la société est tenue de demander à la Commission régionale d’inscription dont elle relève la modification correspondante de son inscription sur la liste des commissaires aux comptes.</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8 – Opérations sur le capital</w:t>
      </w:r>
    </w:p>
    <w:p w:rsid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 xml:space="preserve">Dans tous les cas, la réalisation d’opérations sur le capital doit respecter les </w:t>
      </w:r>
      <w:r w:rsidR="001654AE">
        <w:rPr>
          <w:rFonts w:ascii="Trebuchet MS" w:hAnsi="Trebuchet MS"/>
          <w:iCs/>
          <w:color w:val="000000"/>
          <w:spacing w:val="-4"/>
          <w:sz w:val="20"/>
          <w:szCs w:val="23"/>
        </w:rPr>
        <w:t>dispositions légales</w:t>
      </w:r>
      <w:r w:rsidRPr="001446EF">
        <w:rPr>
          <w:rFonts w:ascii="Trebuchet MS" w:hAnsi="Trebuchet MS"/>
          <w:iCs/>
          <w:color w:val="000000"/>
          <w:spacing w:val="-4"/>
          <w:sz w:val="20"/>
          <w:szCs w:val="23"/>
        </w:rPr>
        <w:t xml:space="preserve"> de détention des droits de vote </w:t>
      </w:r>
      <w:r w:rsidR="001654AE">
        <w:rPr>
          <w:rFonts w:ascii="Trebuchet MS" w:hAnsi="Trebuchet MS"/>
          <w:iCs/>
          <w:color w:val="000000"/>
          <w:spacing w:val="-4"/>
          <w:sz w:val="20"/>
          <w:szCs w:val="23"/>
        </w:rPr>
        <w:t>régissant les professions d’expert-comptable et de commissaire aux comptes.</w:t>
      </w:r>
    </w:p>
    <w:p w:rsidR="00C94D1A" w:rsidRDefault="00C94D1A" w:rsidP="001446EF">
      <w:pPr>
        <w:autoSpaceDE w:val="0"/>
        <w:autoSpaceDN w:val="0"/>
        <w:adjustRightInd w:val="0"/>
        <w:spacing w:before="120"/>
        <w:jc w:val="both"/>
        <w:rPr>
          <w:rFonts w:ascii="Trebuchet MS" w:hAnsi="Trebuchet MS"/>
          <w:iCs/>
          <w:color w:val="000000"/>
          <w:spacing w:val="-4"/>
          <w:sz w:val="20"/>
          <w:szCs w:val="23"/>
        </w:rPr>
      </w:pPr>
      <w:r>
        <w:rPr>
          <w:rFonts w:ascii="Trebuchet MS" w:hAnsi="Trebuchet MS"/>
          <w:iCs/>
          <w:color w:val="000000"/>
          <w:spacing w:val="-4"/>
          <w:sz w:val="20"/>
          <w:szCs w:val="23"/>
        </w:rPr>
        <w:t>La quotité des droits de vote devant être détenue par les personnes mentionnées au 7-I de l’Ordonnance du 19 septembre 1945 est de plus des deux tiers ;</w:t>
      </w:r>
    </w:p>
    <w:p w:rsidR="00C94D1A" w:rsidRPr="001446EF" w:rsidRDefault="00C94D1A" w:rsidP="001446EF">
      <w:pPr>
        <w:autoSpaceDE w:val="0"/>
        <w:autoSpaceDN w:val="0"/>
        <w:adjustRightInd w:val="0"/>
        <w:spacing w:before="120"/>
        <w:jc w:val="both"/>
        <w:rPr>
          <w:rFonts w:ascii="Trebuchet MS" w:hAnsi="Trebuchet MS"/>
          <w:iCs/>
          <w:color w:val="000000"/>
          <w:spacing w:val="-4"/>
          <w:sz w:val="20"/>
          <w:szCs w:val="23"/>
        </w:rPr>
      </w:pPr>
      <w:r>
        <w:rPr>
          <w:rFonts w:ascii="Trebuchet MS" w:hAnsi="Trebuchet MS"/>
          <w:iCs/>
          <w:color w:val="000000"/>
          <w:spacing w:val="-4"/>
          <w:sz w:val="20"/>
          <w:szCs w:val="23"/>
        </w:rPr>
        <w:t>La quotité des droits de vote devant être détenue par des commissaires aux comptes ou des sociétés de commissaires aux comptes inscrits sur la liste prévue à l’article L 822-1 du Code de commerce ou des professionnels régulièrement agréés dans un autre Etat membre, est de trois quarts.</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9 - Transmission des parts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Le consentement de la majorité des associés représentant au moins la moitié des parts sociales est requis pour toute cession de parts au profit d’un tiers.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Toutefois, les parts sociales sont librement cessibles entre associés, entre conjoints et entre ascendants </w:t>
      </w:r>
      <w:r w:rsidRPr="001446EF">
        <w:rPr>
          <w:rFonts w:ascii="Trebuchet MS" w:hAnsi="Trebuchet MS"/>
          <w:iCs/>
          <w:color w:val="000000"/>
          <w:sz w:val="20"/>
          <w:szCs w:val="23"/>
        </w:rPr>
        <w:br/>
        <w:t xml:space="preserve">et descendants ; elles sont librement transmissibles par voie de succession ou en cas de liquidation </w:t>
      </w:r>
      <w:r w:rsidRPr="001446EF">
        <w:rPr>
          <w:rFonts w:ascii="Trebuchet MS" w:hAnsi="Trebuchet MS"/>
          <w:iCs/>
          <w:color w:val="000000"/>
          <w:sz w:val="20"/>
          <w:szCs w:val="23"/>
        </w:rPr>
        <w:br/>
        <w:t>de communauté de biens entre époux et librement cessibles.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Le projet de cession doit être notifié à la société et à chacun des associés par lettre recommandée avec demande d’avis de réception ou par acte extrajudiciaire. La notification doit contenir les nom et prénoms ou dénomination sociale, adresse du domicile ou du siège social et forme juridique de chacun </w:t>
      </w:r>
      <w:r w:rsidRPr="001446EF">
        <w:rPr>
          <w:rFonts w:ascii="Trebuchet MS" w:hAnsi="Trebuchet MS"/>
          <w:iCs/>
          <w:color w:val="000000"/>
          <w:sz w:val="20"/>
          <w:szCs w:val="23"/>
        </w:rPr>
        <w:br/>
        <w:t xml:space="preserve">des cessionnaires, le nombre de parts sociales à céder, le prix, les conditions et modalités de payement </w:t>
      </w:r>
      <w:r w:rsidRPr="001446EF">
        <w:rPr>
          <w:rFonts w:ascii="Trebuchet MS" w:hAnsi="Trebuchet MS"/>
          <w:iCs/>
          <w:color w:val="000000"/>
          <w:sz w:val="20"/>
          <w:szCs w:val="23"/>
        </w:rPr>
        <w:br/>
        <w:t>de la cession projetée.</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 xml:space="preserve">Dans le délai de huit jours de la notification qui lui a été faite, la gérance doit, dans les formes, conditions </w:t>
      </w:r>
      <w:r w:rsidRPr="001446EF">
        <w:rPr>
          <w:rFonts w:ascii="Trebuchet MS" w:hAnsi="Trebuchet MS"/>
          <w:iCs/>
          <w:color w:val="000000"/>
          <w:spacing w:val="-4"/>
          <w:sz w:val="20"/>
          <w:szCs w:val="23"/>
        </w:rPr>
        <w:br/>
        <w:t>et délais prévus pour les décisions extraordinaires, convoquer l’assemblée des associés pour qu’elle délibère sur le projet de cession des parts sociales ou consulter les associés par écrit sur ledit projet.</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La décision de la société n’est pas motivée ; elle est notifiée par la gérance au cédant par lettre recommandée avec demande d’avis de réception.</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 xml:space="preserve">Si la société n’a pas fait connaître sa décision dans le délai de trois mois à compter de la dernière </w:t>
      </w:r>
      <w:r w:rsidRPr="001446EF">
        <w:rPr>
          <w:rFonts w:ascii="Trebuchet MS" w:hAnsi="Trebuchet MS"/>
          <w:iCs/>
          <w:color w:val="000000"/>
          <w:spacing w:val="-4"/>
          <w:sz w:val="20"/>
          <w:szCs w:val="23"/>
        </w:rPr>
        <w:br/>
        <w:t>des notifications du projet de cession, le consentement à la cession est réputé acquis.</w:t>
      </w:r>
    </w:p>
    <w:p w:rsidR="001446EF" w:rsidRPr="001446EF" w:rsidRDefault="001446EF" w:rsidP="007E7BFB">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Si la société refuse de consentir à la cession, les associés sont tenus, dans les trois mois de la notification du refus, d’acquérir ou de faire acquérir les parts à un prix fixé dans les conditions prévues à l’article 1843-4 du Code civil,</w:t>
      </w:r>
      <w:r w:rsidR="007E7BFB">
        <w:rPr>
          <w:rFonts w:ascii="Trebuchet MS" w:hAnsi="Trebuchet MS"/>
          <w:iCs/>
          <w:color w:val="000000"/>
          <w:sz w:val="20"/>
          <w:szCs w:val="23"/>
        </w:rPr>
        <w:t xml:space="preserve"> sauf si le cédant renonce à la cession de ses parts. </w:t>
      </w:r>
      <w:r w:rsidRPr="001446EF">
        <w:rPr>
          <w:rFonts w:ascii="Trebuchet MS" w:hAnsi="Trebuchet MS"/>
          <w:iCs/>
          <w:color w:val="000000"/>
          <w:sz w:val="20"/>
          <w:szCs w:val="23"/>
        </w:rPr>
        <w:t xml:space="preserve"> </w:t>
      </w:r>
      <w:r w:rsidR="007E7BFB" w:rsidRPr="001446EF">
        <w:rPr>
          <w:rFonts w:ascii="Trebuchet MS" w:hAnsi="Trebuchet MS"/>
          <w:iCs/>
          <w:color w:val="000000"/>
          <w:sz w:val="20"/>
          <w:szCs w:val="23"/>
        </w:rPr>
        <w:t>Les</w:t>
      </w:r>
      <w:r w:rsidR="007E7BFB">
        <w:rPr>
          <w:rFonts w:ascii="Trebuchet MS" w:hAnsi="Trebuchet MS"/>
          <w:iCs/>
          <w:color w:val="000000"/>
          <w:sz w:val="20"/>
          <w:szCs w:val="23"/>
        </w:rPr>
        <w:t xml:space="preserve"> frais d’expertise so</w:t>
      </w:r>
      <w:r w:rsidRPr="001446EF">
        <w:rPr>
          <w:rFonts w:ascii="Trebuchet MS" w:hAnsi="Trebuchet MS"/>
          <w:iCs/>
          <w:color w:val="000000"/>
          <w:sz w:val="20"/>
          <w:szCs w:val="23"/>
        </w:rPr>
        <w:t>nt à la charge de la so</w:t>
      </w:r>
      <w:r w:rsidR="007E7BFB">
        <w:rPr>
          <w:rFonts w:ascii="Trebuchet MS" w:hAnsi="Trebuchet MS"/>
          <w:iCs/>
          <w:color w:val="000000"/>
          <w:sz w:val="20"/>
          <w:szCs w:val="23"/>
        </w:rPr>
        <w:t xml:space="preserve">ciété. A la demande du gérant, </w:t>
      </w:r>
      <w:r w:rsidRPr="001446EF">
        <w:rPr>
          <w:rFonts w:ascii="Trebuchet MS" w:hAnsi="Trebuchet MS"/>
          <w:iCs/>
          <w:color w:val="000000"/>
          <w:sz w:val="20"/>
          <w:szCs w:val="23"/>
        </w:rPr>
        <w:t xml:space="preserve">ce délai peut être prolongé une ou plusieurs fois par décision de justice sans qu’il puisse excéder neuf mois en tout. Le prix est payé comptant, sauf convention contraire entre les parties. </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Le cédant peut, à tout moment, signifier à la société par lettre recommandée avec demande d’avis </w:t>
      </w:r>
      <w:r w:rsidRPr="001446EF">
        <w:rPr>
          <w:rFonts w:ascii="Trebuchet MS" w:hAnsi="Trebuchet MS"/>
          <w:iCs/>
          <w:color w:val="000000"/>
          <w:sz w:val="20"/>
          <w:szCs w:val="23"/>
        </w:rPr>
        <w:br/>
        <w:t>de réception sa renonciation à son projet de cession.</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La société peut également, avec le consentement du cédant, décider, dans le même délai de trois mois, éventuellement prolongé, d’acheter les parts du cédant au prix déterminé dans les conditions ci-dessus stipulées et de réduire son capital du montant de la valeur nominale desdites parts.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Pour assurer l’exécution de l’une ou l’autre des solutions ci-dessus exposées, la gérance doit notamment solliciter l’accord du cédant sur un éventuel achat par la société, centraliser les demandes d’achat émanées des autres associés et les réduire éventuellement en proportion des droits de chacun d’eux dans le capital si leur total excède le nombre de parts cédées.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A l’expiration du délai imparti et éventuellement prolongé, lorsqu’aucune des solutions ci-dessus exposées n’est intervenue, l’associé cédant peut réaliser la cession initialement pro jetée, dès lors qu’il détient </w:t>
      </w:r>
      <w:r w:rsidRPr="001446EF">
        <w:rPr>
          <w:rFonts w:ascii="Trebuchet MS" w:hAnsi="Trebuchet MS"/>
          <w:iCs/>
          <w:color w:val="000000"/>
          <w:sz w:val="20"/>
          <w:szCs w:val="23"/>
        </w:rPr>
        <w:br/>
        <w:t>ses parts depuis au moins deux ans ou en a reçu la propriété par succession, liquidation de communauté de biens entre époux ou donation de son conjoint, d’un ascendant ou descendant ; l’associé qui ne remplit aucune de ces conditions reste propriétaire de ses parts.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Dans tous les cas où les parts sont acquises par les associés, les tiers désignés par eux ou la société, notification est faite au cédant, par lettre recommandée avec demande d’avis de réception adressée huit jours à l’avance, de signer l’acte de cession.</w:t>
      </w:r>
    </w:p>
    <w:p w:rsidR="001446EF" w:rsidRPr="001446EF" w:rsidRDefault="001446EF" w:rsidP="00176D70">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Si le cédant refuse, la cession est régularisée d’office par la gérance ou le représentant de la société spécialement habilité à cet effet, qui signera l’acte de cession au lieu et place du cédant.</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 xml:space="preserve">Les stipulations qui précèdent et la procédure qu’elles décrivent sont applicables à toute décision ou toute opération, à titre onéreux ou à titre gratuit, emportant transfert ou démembrement de propriété, y compris par l’effet d’une transmission universelle de patrimoine ou d’une adjudication publique en vertu </w:t>
      </w:r>
      <w:r w:rsidRPr="001446EF">
        <w:rPr>
          <w:rFonts w:ascii="Trebuchet MS" w:hAnsi="Trebuchet MS"/>
          <w:iCs/>
          <w:color w:val="000000"/>
          <w:spacing w:val="-4"/>
          <w:sz w:val="20"/>
          <w:szCs w:val="23"/>
        </w:rPr>
        <w:br/>
        <w:t>d'une Ordonnance de justice ou autrement. L’adjudicataire doit en conséquence notifier le résultat de l’adjudication dans les conditions ci-dessus stipulées, comme s’il s’agissait d’un projet de cession.</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 xml:space="preserve">Toutefois, si les parts sont vendues en exécution d’un nantissement ayant reçu le consentement de la société dans les conditions stipulées au présent paragraphe, le cessionnaire se trouve de plein droit agréé comme nouvel associé, à moins que la société ne préfère, après la cession, racheter sans délai les parts en vue </w:t>
      </w:r>
      <w:r w:rsidRPr="001446EF">
        <w:rPr>
          <w:rFonts w:ascii="Trebuchet MS" w:hAnsi="Trebuchet MS"/>
          <w:iCs/>
          <w:color w:val="000000"/>
          <w:spacing w:val="-4"/>
          <w:sz w:val="20"/>
          <w:szCs w:val="23"/>
        </w:rPr>
        <w:br/>
        <w:t>de réduire son capital.</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10 – Revendication de la qualité d’associé par le conjoint commun en biens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En cas d’apport de biens ou de deniers communs ou d’acquisition de parts de capital au moyen de deniers communs, le conjoint de l’apporteur ou de l’acquéreur peut notifier, par lettre recommandée avec demande d’avis de réception, son intention de devenir personnellement associé pour la moitié d</w:t>
      </w:r>
      <w:r w:rsidR="00125153">
        <w:rPr>
          <w:rFonts w:ascii="Trebuchet MS" w:hAnsi="Trebuchet MS"/>
          <w:iCs/>
          <w:color w:val="000000"/>
          <w:sz w:val="20"/>
          <w:szCs w:val="23"/>
        </w:rPr>
        <w:t>es parts souscrites ou acquises</w:t>
      </w:r>
      <w:r w:rsidR="00125153">
        <w:rPr>
          <w:rFonts w:ascii="Trebuchet MS" w:hAnsi="Trebuchet MS"/>
          <w:bCs/>
          <w:iCs/>
          <w:color w:val="000000"/>
          <w:spacing w:val="-6"/>
          <w:sz w:val="20"/>
          <w:szCs w:val="23"/>
        </w:rPr>
        <w:t>, laquelle n’est valable qu’à la condition que les règles  de détention des droits de vote fixées par l’article 7-I-1°soient respectées</w:t>
      </w:r>
      <w:r w:rsidR="00125153" w:rsidRPr="001C139E">
        <w:rPr>
          <w:rFonts w:ascii="Trebuchet MS" w:hAnsi="Trebuchet MS"/>
          <w:bCs/>
          <w:iCs/>
          <w:color w:val="000000"/>
          <w:spacing w:val="-6"/>
          <w:sz w:val="20"/>
          <w:szCs w:val="23"/>
        </w:rPr>
        <w:t>.</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Si la notification intervient lors de l’apport ou de l’acquisition, l’agrément donné par les associés vaut pour les deux époux.</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Si la notification est postérieure à l’apport ou à l’acquisition, le conjoint de l’apporteur ou de l’acquéreur doit être agréé personnellement par la majorité en nombre des associés représentant au moins la moitié des parts sociales.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La décision des associés est notifiée au conjoint par lettre recommandée avec demande d’avis </w:t>
      </w:r>
      <w:r w:rsidRPr="001446EF">
        <w:rPr>
          <w:rFonts w:ascii="Trebuchet MS" w:hAnsi="Trebuchet MS"/>
          <w:iCs/>
          <w:color w:val="000000"/>
          <w:sz w:val="20"/>
          <w:szCs w:val="23"/>
        </w:rPr>
        <w:br/>
        <w:t>de réception. En cas de refus d’agrément, seul le conjoint souscripteur ou acquéreur demeure ou devient associé pour la totalité des parts souscrites ou acquises.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Le défaut de notification dans le délai de trois mois à compter de la date de la notification emporte agrément du conjoint comme associé à hauteur de la moitié des parts sociales souscrites ou acquises.</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11 – Cessation d’activité d’un professionnel associé</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Le professionnel associé qui cesse d’être inscrit au Tableau de l’Ordre des experts-comptables interrompt toute activité d’expertise comptable au nom de la société à compter de la date à laquelle il cesse d’être inscrit.</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Le professionnel associé qui cesse d’être inscrit sur la liste des commissaires aux comptes interrompt toute activité de commissariat aux comptes au nom de la société à compter de la date à laquelle il cesse d’être inscrit.</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Lorsque la cessation d’activité du professionnel associé pour quelque cause que ce soit, sa radiation </w:t>
      </w:r>
      <w:r w:rsidRPr="001446EF">
        <w:rPr>
          <w:rFonts w:ascii="Trebuchet MS" w:hAnsi="Trebuchet MS"/>
          <w:iCs/>
          <w:color w:val="000000"/>
          <w:sz w:val="20"/>
          <w:szCs w:val="23"/>
        </w:rPr>
        <w:br/>
        <w:t xml:space="preserve">ou son omission du Tableau de l’Ordre des experts-comptables a pour effet d’abaisser </w:t>
      </w:r>
      <w:r w:rsidR="00655208">
        <w:rPr>
          <w:rFonts w:ascii="Trebuchet MS" w:hAnsi="Trebuchet MS"/>
          <w:iCs/>
          <w:color w:val="000000"/>
          <w:sz w:val="20"/>
          <w:szCs w:val="23"/>
        </w:rPr>
        <w:t xml:space="preserve">les </w:t>
      </w:r>
      <w:r w:rsidRPr="001446EF">
        <w:rPr>
          <w:rFonts w:ascii="Trebuchet MS" w:hAnsi="Trebuchet MS"/>
          <w:iCs/>
          <w:color w:val="000000"/>
          <w:sz w:val="20"/>
          <w:szCs w:val="23"/>
        </w:rPr>
        <w:t xml:space="preserve">droits de vote détenus par des </w:t>
      </w:r>
      <w:r w:rsidR="00655208">
        <w:rPr>
          <w:rFonts w:ascii="Trebuchet MS" w:hAnsi="Trebuchet MS"/>
          <w:iCs/>
          <w:color w:val="000000"/>
          <w:sz w:val="20"/>
          <w:szCs w:val="23"/>
        </w:rPr>
        <w:t>personnes visées au premier alinéa de  l’article 7, I</w:t>
      </w:r>
      <w:r w:rsidRPr="001446EF">
        <w:rPr>
          <w:rFonts w:ascii="Trebuchet MS" w:hAnsi="Trebuchet MS"/>
          <w:iCs/>
          <w:color w:val="000000"/>
          <w:sz w:val="20"/>
          <w:szCs w:val="23"/>
        </w:rPr>
        <w:t xml:space="preserve"> </w:t>
      </w:r>
      <w:r w:rsidR="00655208">
        <w:rPr>
          <w:rFonts w:ascii="Trebuchet MS" w:hAnsi="Trebuchet MS"/>
          <w:iCs/>
          <w:color w:val="000000"/>
          <w:sz w:val="20"/>
          <w:szCs w:val="23"/>
        </w:rPr>
        <w:t xml:space="preserve">de l’Ordonnance du 19 septembre 1945 </w:t>
      </w:r>
      <w:r w:rsidRPr="001446EF">
        <w:rPr>
          <w:rFonts w:ascii="Trebuchet MS" w:hAnsi="Trebuchet MS"/>
          <w:iCs/>
          <w:color w:val="000000"/>
          <w:sz w:val="20"/>
          <w:szCs w:val="23"/>
        </w:rPr>
        <w:t>au-dessous des quotités légales, la société saisit le Conseil régional de l’ordre dont elle relève afin que celui-ci lui accorde un délai en vue de régulariser sa situation.</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Lorsque la cessation d’activité du professionnel associé pour quelque cause que ce soit, sa radiation </w:t>
      </w:r>
      <w:r w:rsidRPr="001446EF">
        <w:rPr>
          <w:rFonts w:ascii="Trebuchet MS" w:hAnsi="Trebuchet MS"/>
          <w:iCs/>
          <w:color w:val="000000"/>
          <w:sz w:val="20"/>
          <w:szCs w:val="23"/>
        </w:rPr>
        <w:br/>
        <w:t xml:space="preserve">ou son omission de la liste des commissaires aux comptes a pour effet d’abaisser, au-dessous des quotités légales, le pourcentage des droits de vote détenu par des commissaires aux comptes ou des professionnels régulièrement agréés dans un autre Etat membre de la Communauté européenne pour l’exercice </w:t>
      </w:r>
      <w:r w:rsidRPr="001446EF">
        <w:rPr>
          <w:rFonts w:ascii="Trebuchet MS" w:hAnsi="Trebuchet MS"/>
          <w:iCs/>
          <w:color w:val="000000"/>
          <w:sz w:val="20"/>
          <w:szCs w:val="23"/>
        </w:rPr>
        <w:br/>
        <w:t xml:space="preserve">du contrôle légal des comptes, il dispose d’un délai de six mois à compter du jour où il cesse d’être inscrit sur la liste des commissaires aux comptes, pour céder tout ou partie de ses parts sociales permettant </w:t>
      </w:r>
      <w:r w:rsidRPr="001446EF">
        <w:rPr>
          <w:rFonts w:ascii="Trebuchet MS" w:hAnsi="Trebuchet MS"/>
          <w:iCs/>
          <w:color w:val="000000"/>
          <w:sz w:val="20"/>
          <w:szCs w:val="23"/>
        </w:rPr>
        <w:br/>
        <w:t>à la société de respecter ces quotités.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Au cas où les dispositions de l’un ou l’autre des deux alinéas précédents ne sont plus respectées, l’associé est exclu de la société, ses parts sociales étant, dans un délai de trois mois suivant l’expiration des délais mentionnés aux alinéas précédents, rachetées soit par toute personne désignée par la société, soit par celle-ci. Dans ce dernier cas, elles sont annulées. A défaut d’accord amiable sur le prix, celui-ci est fixé dans les conditions visées à l’article 1843-4 du Code civil.</w:t>
      </w:r>
    </w:p>
    <w:p w:rsidR="001446EF" w:rsidRPr="001446EF" w:rsidRDefault="001446EF" w:rsidP="00176D70">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Toutefois, en cas de décès d’un professionnel, ses ayants droit disposent d’un délai de deux ans pour céder leurs parts sociales à un autre professionnel.</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12 - Prérogatives et obligations attachées aux parts sociales</w:t>
      </w:r>
    </w:p>
    <w:p w:rsidR="001446EF" w:rsidRPr="001446EF" w:rsidRDefault="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 xml:space="preserve">La propriété d’une part emporte de plein droit adhésion aux présents statuts et aux décisions collectives </w:t>
      </w:r>
      <w:r w:rsidRPr="001446EF">
        <w:rPr>
          <w:rFonts w:ascii="Trebuchet MS" w:hAnsi="Trebuchet MS"/>
          <w:iCs/>
          <w:color w:val="000000"/>
          <w:spacing w:val="-4"/>
          <w:sz w:val="20"/>
          <w:szCs w:val="23"/>
        </w:rPr>
        <w:br/>
        <w:t>des associés.</w:t>
      </w:r>
    </w:p>
    <w:p w:rsidR="001446EF" w:rsidRPr="001446EF" w:rsidRDefault="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Chaque part confère à son propriétaire un droit égal dans les bénéfices de la société et dans tout l’actif social.</w:t>
      </w:r>
    </w:p>
    <w:p w:rsidR="001446EF" w:rsidRPr="001446EF" w:rsidRDefault="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Chaque associé participant aux décisions collectives dispose d’un nombre de voix égal à celui des parts qu’il possède.</w:t>
      </w:r>
    </w:p>
    <w:p w:rsidR="001446EF" w:rsidRPr="001446EF" w:rsidRDefault="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Chaque part est indivisible à l’égard de la société. Les copropriétaires de parts indivises sont représentés par l’un d’eux ou par un mandataire unique. En cas de désaccord, le mandataire est désigné en justice </w:t>
      </w:r>
      <w:r w:rsidRPr="001446EF">
        <w:rPr>
          <w:rFonts w:ascii="Trebuchet MS" w:hAnsi="Trebuchet MS"/>
          <w:iCs/>
          <w:color w:val="000000"/>
          <w:sz w:val="20"/>
          <w:szCs w:val="23"/>
        </w:rPr>
        <w:br/>
        <w:t>à la demande du copropriétaire le plus diligent.</w:t>
      </w:r>
    </w:p>
    <w:p w:rsidR="001446EF" w:rsidRPr="001446EF" w:rsidRDefault="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Le droit de vote appartient au nu-propriétaire, sauf pour les décisions concernant l’affectation des bénéfices, où il est réservé à l’usufruitier.</w:t>
      </w:r>
    </w:p>
    <w:p w:rsidR="001446EF" w:rsidRPr="001446EF" w:rsidRDefault="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Hors les cas prévus par la loi, les associés ne peuvent effectuer aucun prélèvement sur l’actif social.</w:t>
      </w:r>
    </w:p>
    <w:p w:rsidR="001446EF" w:rsidRPr="001446EF" w:rsidRDefault="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13 - Responsabilité des associés</w:t>
      </w:r>
    </w:p>
    <w:p w:rsidR="001446EF" w:rsidRPr="001446EF" w:rsidRDefault="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Sous réserve des dispositions légales les rendant temporairement solidairement responsables, vis-à-vis </w:t>
      </w:r>
      <w:r w:rsidRPr="001446EF">
        <w:rPr>
          <w:rFonts w:ascii="Trebuchet MS" w:hAnsi="Trebuchet MS"/>
          <w:iCs/>
          <w:color w:val="000000"/>
          <w:sz w:val="20"/>
          <w:szCs w:val="23"/>
        </w:rPr>
        <w:br/>
        <w:t>des tiers, de la valeur attribuée aux apports en nature, les associés ne supportent les pertes que jusqu’à concurrence de leurs apports.</w:t>
      </w:r>
    </w:p>
    <w:p w:rsidR="00C94D1A" w:rsidRDefault="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14 – Gérance</w:t>
      </w:r>
    </w:p>
    <w:p w:rsidR="00C94D1A" w:rsidRDefault="00C94D1A" w:rsidP="00C94D1A">
      <w:pPr>
        <w:autoSpaceDE w:val="0"/>
        <w:autoSpaceDN w:val="0"/>
        <w:adjustRightInd w:val="0"/>
        <w:jc w:val="both"/>
        <w:outlineLvl w:val="5"/>
        <w:rPr>
          <w:rFonts w:ascii="Trebuchet MS" w:hAnsi="Trebuchet MS"/>
          <w:b/>
          <w:bCs/>
          <w:iCs/>
          <w:color w:val="C00000"/>
          <w:sz w:val="20"/>
          <w:szCs w:val="23"/>
        </w:rPr>
      </w:pPr>
    </w:p>
    <w:p w:rsidR="001446EF" w:rsidRPr="00C94D1A" w:rsidRDefault="001446EF" w:rsidP="00DD3C5D">
      <w:pPr>
        <w:jc w:val="both"/>
        <w:rPr>
          <w:rFonts w:ascii="Trebuchet MS" w:hAnsi="Trebuchet MS"/>
          <w:iCs/>
          <w:sz w:val="20"/>
          <w:szCs w:val="23"/>
        </w:rPr>
      </w:pPr>
      <w:r w:rsidRPr="00C94D1A">
        <w:rPr>
          <w:rFonts w:ascii="Trebuchet MS" w:hAnsi="Trebuchet MS"/>
          <w:iCs/>
          <w:sz w:val="20"/>
          <w:szCs w:val="23"/>
        </w:rPr>
        <w:t xml:space="preserve">La société est administrée par un ou plusieurs gérants, </w:t>
      </w:r>
      <w:r w:rsidR="00C94D1A" w:rsidRPr="00C94D1A">
        <w:rPr>
          <w:rFonts w:ascii="Trebuchet MS" w:hAnsi="Trebuchet MS"/>
          <w:iCs/>
          <w:sz w:val="20"/>
          <w:szCs w:val="23"/>
        </w:rPr>
        <w:t>personnes physiques respectant les conditions visées à</w:t>
      </w:r>
      <w:r w:rsidR="004A212B" w:rsidRPr="00C94D1A">
        <w:rPr>
          <w:rFonts w:ascii="Trebuchet MS" w:hAnsi="Trebuchet MS"/>
          <w:iCs/>
          <w:sz w:val="20"/>
          <w:szCs w:val="23"/>
        </w:rPr>
        <w:t xml:space="preserve"> l’</w:t>
      </w:r>
      <w:r w:rsidR="008419DA" w:rsidRPr="00C94D1A">
        <w:rPr>
          <w:rFonts w:ascii="Trebuchet MS" w:hAnsi="Trebuchet MS"/>
          <w:iCs/>
          <w:sz w:val="20"/>
          <w:szCs w:val="23"/>
        </w:rPr>
        <w:t>article</w:t>
      </w:r>
      <w:r w:rsidR="004A212B" w:rsidRPr="00C94D1A">
        <w:rPr>
          <w:rFonts w:ascii="Trebuchet MS" w:hAnsi="Trebuchet MS"/>
          <w:iCs/>
          <w:sz w:val="20"/>
          <w:szCs w:val="23"/>
        </w:rPr>
        <w:t xml:space="preserve"> 7-I de l’ordonnance du 19 septembre 1945</w:t>
      </w:r>
      <w:r w:rsidR="00C94D1A" w:rsidRPr="00C94D1A">
        <w:rPr>
          <w:rFonts w:ascii="Trebuchet MS" w:hAnsi="Trebuchet MS"/>
          <w:iCs/>
          <w:sz w:val="20"/>
          <w:szCs w:val="23"/>
        </w:rPr>
        <w:t xml:space="preserve"> </w:t>
      </w:r>
      <w:r w:rsidRPr="00C94D1A">
        <w:rPr>
          <w:rFonts w:ascii="Trebuchet MS" w:hAnsi="Trebuchet MS"/>
          <w:iCs/>
          <w:sz w:val="20"/>
          <w:szCs w:val="23"/>
        </w:rPr>
        <w:t>et</w:t>
      </w:r>
      <w:r w:rsidR="004A212B" w:rsidRPr="00C94D1A">
        <w:rPr>
          <w:rFonts w:ascii="Trebuchet MS" w:hAnsi="Trebuchet MS"/>
          <w:iCs/>
          <w:sz w:val="20"/>
          <w:szCs w:val="23"/>
        </w:rPr>
        <w:t xml:space="preserve"> inscrites</w:t>
      </w:r>
      <w:r w:rsidR="00C94D1A" w:rsidRPr="00C94D1A">
        <w:rPr>
          <w:rFonts w:ascii="Trebuchet MS" w:hAnsi="Trebuchet MS"/>
          <w:iCs/>
          <w:sz w:val="20"/>
          <w:szCs w:val="23"/>
        </w:rPr>
        <w:t xml:space="preserve">, </w:t>
      </w:r>
      <w:r w:rsidRPr="00C94D1A">
        <w:rPr>
          <w:rFonts w:ascii="Trebuchet MS" w:hAnsi="Trebuchet MS"/>
          <w:iCs/>
          <w:sz w:val="20"/>
          <w:szCs w:val="23"/>
        </w:rPr>
        <w:t>d’autre part, sur la liste des commissaires aux comptes ou régulièrement agréés dans un autre Etat membre de la Communauté européenne pour l’exercice du contrôle légal des comptes. Les gérants sont nommés, pour une durée (</w:t>
      </w:r>
      <w:r w:rsidRPr="00C94D1A">
        <w:rPr>
          <w:rFonts w:ascii="Trebuchet MS" w:hAnsi="Trebuchet MS"/>
          <w:b/>
          <w:bCs/>
          <w:iCs/>
          <w:sz w:val="20"/>
          <w:szCs w:val="23"/>
        </w:rPr>
        <w:t>de …… ans, r</w:t>
      </w:r>
      <w:r w:rsidR="00C94D1A" w:rsidRPr="00C94D1A">
        <w:rPr>
          <w:rFonts w:ascii="Trebuchet MS" w:hAnsi="Trebuchet MS"/>
          <w:b/>
          <w:bCs/>
          <w:iCs/>
          <w:sz w:val="20"/>
          <w:szCs w:val="23"/>
        </w:rPr>
        <w:t>enouvelable ou non, illimitée).</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Le ou les gérants peuvent recevoir une rémunération qui est fixée et peut être modifiée par une décision ordinaire des associés.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Tout gérant a, par ailleurs, droit au remboursement de ses frais de déplacement et de représentation engagés dans l’intérêt de la société, sur présentation de toutes pièces justificatives.</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Dans les rapports avec les tiers, les pouvoirs du ou des gérants sont les plus étendus pour agir en toute circonstance au nom de la société, sous réserve des pouvoirs que la loi attribue expressément aux associés.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La société est engagée même par les actes du gérant qui ne relèvent pas de l’objet social, à moins qu’elle ne prouve que le tiers savait que l’acte dépassait cet objet ou qu’il ne pouvait l’ignorer compte tenu </w:t>
      </w:r>
      <w:r w:rsidRPr="001446EF">
        <w:rPr>
          <w:rFonts w:ascii="Trebuchet MS" w:hAnsi="Trebuchet MS"/>
          <w:iCs/>
          <w:color w:val="000000"/>
          <w:sz w:val="20"/>
          <w:szCs w:val="23"/>
        </w:rPr>
        <w:br/>
        <w:t>des circonstances, la seule publication des statuts ne suffisant pas à constituer cette preuve.</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Dans les rapports avec les associés, le ou les gérants peuvent faire tous actes de gestion dans l'intérêt </w:t>
      </w:r>
      <w:r w:rsidRPr="001446EF">
        <w:rPr>
          <w:rFonts w:ascii="Trebuchet MS" w:hAnsi="Trebuchet MS"/>
          <w:iCs/>
          <w:color w:val="000000"/>
          <w:sz w:val="20"/>
          <w:szCs w:val="23"/>
        </w:rPr>
        <w:br/>
        <w:t>de la société.</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En cas de pluralité de gérants, l'opposition formée par un gérant aux actes d'un autre gérant est sans effet à l'égard des tiers, à moins qu'il ne soit établi que ceux-ci  en ont eu connaissance.</w:t>
      </w:r>
    </w:p>
    <w:p w:rsidR="001446EF" w:rsidRPr="001446EF" w:rsidRDefault="001446EF" w:rsidP="001446EF">
      <w:pPr>
        <w:autoSpaceDE w:val="0"/>
        <w:autoSpaceDN w:val="0"/>
        <w:adjustRightInd w:val="0"/>
        <w:spacing w:before="200"/>
        <w:jc w:val="both"/>
        <w:rPr>
          <w:rFonts w:ascii="Trebuchet MS" w:hAnsi="Trebuchet MS"/>
          <w:b/>
          <w:bCs/>
          <w:i/>
          <w:iCs/>
          <w:color w:val="000000"/>
          <w:sz w:val="20"/>
          <w:szCs w:val="23"/>
        </w:rPr>
      </w:pPr>
      <w:r w:rsidRPr="001446EF">
        <w:rPr>
          <w:rFonts w:ascii="Trebuchet MS" w:hAnsi="Trebuchet MS"/>
          <w:b/>
          <w:bCs/>
          <w:i/>
          <w:iCs/>
          <w:color w:val="000000"/>
          <w:sz w:val="20"/>
          <w:szCs w:val="23"/>
        </w:rPr>
        <w:t>(Eventuellement) :</w:t>
      </w:r>
    </w:p>
    <w:p w:rsidR="001446EF" w:rsidRPr="001446EF" w:rsidRDefault="001446EF" w:rsidP="001446EF">
      <w:pPr>
        <w:autoSpaceDE w:val="0"/>
        <w:autoSpaceDN w:val="0"/>
        <w:adjustRightInd w:val="0"/>
        <w:spacing w:before="120"/>
        <w:jc w:val="both"/>
        <w:rPr>
          <w:rFonts w:ascii="Trebuchet MS" w:hAnsi="Trebuchet MS"/>
          <w:color w:val="000000"/>
          <w:spacing w:val="-4"/>
          <w:sz w:val="20"/>
          <w:szCs w:val="23"/>
        </w:rPr>
      </w:pPr>
      <w:r w:rsidRPr="001446EF">
        <w:rPr>
          <w:rFonts w:ascii="Trebuchet MS" w:hAnsi="Trebuchet MS"/>
          <w:iCs/>
          <w:color w:val="000000"/>
          <w:sz w:val="20"/>
          <w:szCs w:val="23"/>
        </w:rPr>
        <w:t xml:space="preserve">Les emprunts, à l’exception des crédits en banque et des prêts ou dépôts consentis par des associés, </w:t>
      </w:r>
      <w:r w:rsidRPr="001446EF">
        <w:rPr>
          <w:rFonts w:ascii="Trebuchet MS" w:hAnsi="Trebuchet MS"/>
          <w:iCs/>
          <w:color w:val="000000"/>
          <w:sz w:val="20"/>
          <w:szCs w:val="23"/>
        </w:rPr>
        <w:br/>
      </w:r>
      <w:r w:rsidRPr="001446EF">
        <w:rPr>
          <w:rFonts w:ascii="Trebuchet MS" w:hAnsi="Trebuchet MS"/>
          <w:iCs/>
          <w:color w:val="000000"/>
          <w:spacing w:val="-4"/>
          <w:sz w:val="20"/>
          <w:szCs w:val="23"/>
        </w:rPr>
        <w:t xml:space="preserve">les achats, échanges et ventes d’immeubles, les hypothèques et nantissements, toutes conventions ayant pour objet un fonds libéral, toutes prises de participations compatibles avec l’objet social dans d’autres sociétés, </w:t>
      </w:r>
      <w:r w:rsidRPr="001446EF">
        <w:rPr>
          <w:rFonts w:ascii="Trebuchet MS" w:hAnsi="Trebuchet MS"/>
          <w:iCs/>
          <w:color w:val="000000"/>
          <w:spacing w:val="-4"/>
          <w:sz w:val="20"/>
          <w:szCs w:val="23"/>
        </w:rPr>
        <w:br/>
        <w:t>ne peuvent être faits ou consentis qu’avec l’autorisation des associés aux conditions des décisions ordinaires.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Les gérants, révocables par décision ordinaire des associés, peuvent démissionner de leurs fonctions.</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15 - Conventions entre la société et un gérant ou un associé</w:t>
      </w:r>
    </w:p>
    <w:p w:rsidR="001446EF" w:rsidRPr="001446EF" w:rsidRDefault="001446EF" w:rsidP="00DD3C5D">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Les conventions qui interviennent directement ou par personne interposée entre la société et l'un de ses gérants ou associés sont soumises aux procédures d'approbation et de contrôle prévues par la loi.</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Ces dispositions s'appliquent aux conventions passées avec une société dont un associé indéfiniment responsable, un gérant, un administrateur, un directeur général, un membre du directoire ou un membre du conseil de surveillance est simultanément gérant ou associé de la société à responsabilité limitée.</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Elles ne s'appliquent pas aux conventions portant sur des opérations courantes et conclues à des conditions normales.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A peine de nullité du contrat, il est interdit aux gérants ou associés autres que les personnes morales </w:t>
      </w:r>
      <w:r w:rsidRPr="001446EF">
        <w:rPr>
          <w:rFonts w:ascii="Trebuchet MS" w:hAnsi="Trebuchet MS"/>
          <w:iCs/>
          <w:color w:val="000000"/>
          <w:sz w:val="20"/>
          <w:szCs w:val="23"/>
        </w:rPr>
        <w:br/>
        <w:t>de contracter sous quelque forme que ce soit, des emprunts auprès de la société, de se faire consentir par elle un découvert, en compte courant ou autrement, ainsi que de faire cautionner ou avaliser par elle leurs engagements envers les tiers.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Cette interdiction s'applique aux conjoint, ascendants et descendants des gérants ou associés ainsi qu'à toute personne interposée et aux représentants légaux des personnes morales associées.</w:t>
      </w:r>
    </w:p>
    <w:p w:rsid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16 - Décisions collectives</w:t>
      </w:r>
    </w:p>
    <w:p w:rsidR="00C21747" w:rsidRPr="00C21747" w:rsidRDefault="00C21747" w:rsidP="00C21747">
      <w:pPr>
        <w:autoSpaceDE w:val="0"/>
        <w:autoSpaceDN w:val="0"/>
        <w:adjustRightInd w:val="0"/>
        <w:spacing w:before="120"/>
        <w:jc w:val="both"/>
        <w:rPr>
          <w:rFonts w:ascii="Trebuchet MS" w:hAnsi="Trebuchet MS"/>
          <w:iCs/>
          <w:color w:val="000000"/>
          <w:spacing w:val="-4"/>
          <w:sz w:val="20"/>
          <w:szCs w:val="23"/>
        </w:rPr>
      </w:pPr>
      <w:r w:rsidRPr="00C21747">
        <w:rPr>
          <w:rFonts w:ascii="Trebuchet MS" w:hAnsi="Trebuchet MS"/>
          <w:iCs/>
          <w:color w:val="000000"/>
          <w:spacing w:val="-4"/>
          <w:sz w:val="20"/>
          <w:szCs w:val="23"/>
        </w:rPr>
        <w:t xml:space="preserve">La volonté des associés s’exprime par des décisions collectives qui, régulièrement prises, obligent tous </w:t>
      </w:r>
      <w:r w:rsidRPr="00C21747">
        <w:rPr>
          <w:rFonts w:ascii="Trebuchet MS" w:hAnsi="Trebuchet MS"/>
          <w:iCs/>
          <w:color w:val="000000"/>
          <w:spacing w:val="-4"/>
          <w:sz w:val="20"/>
          <w:szCs w:val="23"/>
        </w:rPr>
        <w:br/>
        <w:t>les associés.</w:t>
      </w:r>
    </w:p>
    <w:p w:rsidR="00C21747" w:rsidRPr="00C21747" w:rsidRDefault="00C21747" w:rsidP="00C21747">
      <w:pPr>
        <w:autoSpaceDE w:val="0"/>
        <w:autoSpaceDN w:val="0"/>
        <w:adjustRightInd w:val="0"/>
        <w:spacing w:before="120"/>
        <w:jc w:val="both"/>
        <w:rPr>
          <w:rFonts w:ascii="Trebuchet MS" w:hAnsi="Trebuchet MS"/>
          <w:iCs/>
          <w:color w:val="000000"/>
          <w:spacing w:val="-4"/>
          <w:sz w:val="20"/>
          <w:szCs w:val="23"/>
        </w:rPr>
      </w:pPr>
      <w:r w:rsidRPr="00C21747">
        <w:rPr>
          <w:rFonts w:ascii="Trebuchet MS" w:hAnsi="Trebuchet MS"/>
          <w:iCs/>
          <w:color w:val="000000"/>
          <w:spacing w:val="-4"/>
          <w:sz w:val="20"/>
          <w:szCs w:val="23"/>
        </w:rPr>
        <w:t xml:space="preserve">Les décisions collectives sont prises, au choix de la gérance, en assemblée, par voie de consultation écrite </w:t>
      </w:r>
      <w:r w:rsidRPr="00C21747">
        <w:rPr>
          <w:rFonts w:ascii="Trebuchet MS" w:hAnsi="Trebuchet MS"/>
          <w:iCs/>
          <w:color w:val="000000"/>
          <w:spacing w:val="-4"/>
          <w:sz w:val="20"/>
          <w:szCs w:val="23"/>
        </w:rPr>
        <w:br/>
        <w:t xml:space="preserve">des associés ou pourront résulter du consentement de tous les associés exprimés dans un acte. Toutefois, </w:t>
      </w:r>
      <w:r w:rsidRPr="00C21747">
        <w:rPr>
          <w:rFonts w:ascii="Trebuchet MS" w:hAnsi="Trebuchet MS"/>
          <w:iCs/>
          <w:color w:val="000000"/>
          <w:spacing w:val="-4"/>
          <w:sz w:val="20"/>
          <w:szCs w:val="23"/>
        </w:rPr>
        <w:br/>
        <w:t xml:space="preserve">la réunion d’une assemblée est obligatoire pour statuer sur l’approbation annuelle des </w:t>
      </w:r>
      <w:r w:rsidR="00725B32" w:rsidRPr="00C21747">
        <w:rPr>
          <w:rFonts w:ascii="Trebuchet MS" w:hAnsi="Trebuchet MS"/>
          <w:iCs/>
          <w:color w:val="000000"/>
          <w:spacing w:val="-4"/>
          <w:sz w:val="20"/>
          <w:szCs w:val="23"/>
        </w:rPr>
        <w:t>comptes. Un</w:t>
      </w:r>
      <w:r w:rsidRPr="00C21747">
        <w:rPr>
          <w:rFonts w:ascii="Trebuchet MS" w:hAnsi="Trebuchet MS"/>
          <w:iCs/>
          <w:color w:val="000000"/>
          <w:spacing w:val="-4"/>
          <w:sz w:val="20"/>
          <w:szCs w:val="23"/>
        </w:rPr>
        <w:t xml:space="preserve"> ou plusieurs associés représentant les quotités fixées par les dispositions législatives et/ ou réglementaires ont la faculté de demander la réunion d’une assemblée.</w:t>
      </w:r>
    </w:p>
    <w:p w:rsidR="00C21747" w:rsidRPr="00C21747" w:rsidRDefault="00C21747" w:rsidP="00C21747">
      <w:pPr>
        <w:pStyle w:val="Paragraphedeliste"/>
        <w:numPr>
          <w:ilvl w:val="0"/>
          <w:numId w:val="177"/>
        </w:numPr>
        <w:autoSpaceDE w:val="0"/>
        <w:autoSpaceDN w:val="0"/>
        <w:adjustRightInd w:val="0"/>
        <w:spacing w:before="120" w:after="200" w:line="276" w:lineRule="auto"/>
        <w:jc w:val="both"/>
        <w:rPr>
          <w:rFonts w:ascii="Trebuchet MS" w:hAnsi="Trebuchet MS"/>
          <w:iCs/>
          <w:color w:val="000000"/>
          <w:sz w:val="20"/>
          <w:szCs w:val="23"/>
        </w:rPr>
      </w:pPr>
      <w:r w:rsidRPr="00C21747">
        <w:rPr>
          <w:rFonts w:ascii="Trebuchet MS" w:hAnsi="Trebuchet MS"/>
          <w:iCs/>
          <w:color w:val="000000"/>
          <w:sz w:val="20"/>
          <w:szCs w:val="23"/>
        </w:rPr>
        <w:t>L’assemblée est convoquée par la gérance ou, à défaut par le commissaire aux comptes, s’il en existe un, ou, encore par un mandataire désigné en justice à la demande de tout associé.</w:t>
      </w:r>
    </w:p>
    <w:p w:rsidR="00C21747" w:rsidRPr="00C21747" w:rsidRDefault="00C21747" w:rsidP="00C21747">
      <w:pPr>
        <w:autoSpaceDE w:val="0"/>
        <w:autoSpaceDN w:val="0"/>
        <w:adjustRightInd w:val="0"/>
        <w:spacing w:before="120"/>
        <w:ind w:left="709"/>
        <w:jc w:val="both"/>
        <w:rPr>
          <w:rFonts w:ascii="Trebuchet MS" w:hAnsi="Trebuchet MS"/>
          <w:iCs/>
          <w:color w:val="000000"/>
          <w:sz w:val="20"/>
          <w:szCs w:val="23"/>
        </w:rPr>
      </w:pPr>
      <w:r w:rsidRPr="00C21747">
        <w:rPr>
          <w:rFonts w:ascii="Trebuchet MS" w:hAnsi="Trebuchet MS"/>
          <w:iCs/>
          <w:color w:val="000000"/>
          <w:sz w:val="20"/>
          <w:szCs w:val="23"/>
        </w:rPr>
        <w:t>En cas de pluralité des gérants, chacun peut agir séparément.</w:t>
      </w:r>
    </w:p>
    <w:p w:rsidR="00C21747" w:rsidRPr="00C21747" w:rsidRDefault="00C21747" w:rsidP="00C21747">
      <w:pPr>
        <w:autoSpaceDE w:val="0"/>
        <w:autoSpaceDN w:val="0"/>
        <w:adjustRightInd w:val="0"/>
        <w:spacing w:before="120"/>
        <w:ind w:left="709"/>
        <w:jc w:val="both"/>
        <w:rPr>
          <w:rFonts w:ascii="Trebuchet MS" w:hAnsi="Trebuchet MS"/>
          <w:iCs/>
          <w:color w:val="000000"/>
          <w:sz w:val="20"/>
          <w:szCs w:val="23"/>
        </w:rPr>
      </w:pPr>
      <w:r w:rsidRPr="00C21747">
        <w:rPr>
          <w:rFonts w:ascii="Trebuchet MS" w:hAnsi="Trebuchet MS"/>
          <w:iCs/>
          <w:color w:val="000000"/>
          <w:sz w:val="20"/>
          <w:szCs w:val="23"/>
        </w:rPr>
        <w:t>Pendant la liquidation, les assemblées sont convoquées par le ou les liquidateurs.</w:t>
      </w:r>
    </w:p>
    <w:p w:rsidR="00C21747" w:rsidRPr="00C21747" w:rsidRDefault="00C21747" w:rsidP="00C21747">
      <w:pPr>
        <w:autoSpaceDE w:val="0"/>
        <w:autoSpaceDN w:val="0"/>
        <w:adjustRightInd w:val="0"/>
        <w:spacing w:before="120"/>
        <w:ind w:left="709"/>
        <w:jc w:val="both"/>
        <w:rPr>
          <w:rFonts w:ascii="Trebuchet MS" w:hAnsi="Trebuchet MS"/>
          <w:iCs/>
          <w:color w:val="000000"/>
          <w:sz w:val="20"/>
          <w:szCs w:val="23"/>
        </w:rPr>
      </w:pPr>
      <w:r w:rsidRPr="00C21747">
        <w:rPr>
          <w:rFonts w:ascii="Trebuchet MS" w:hAnsi="Trebuchet MS"/>
          <w:iCs/>
          <w:color w:val="000000"/>
          <w:sz w:val="20"/>
          <w:szCs w:val="23"/>
        </w:rPr>
        <w:t>Les assemblées sont réunies au lieu indiqué dans la convocation. La convocation est faite par lettre recommandée adressée à chacun des associés, quinze jours au moins avant la date de réunion. Celle-ci indique l’ordre du jour.</w:t>
      </w:r>
    </w:p>
    <w:p w:rsidR="00C21747" w:rsidRDefault="00C21747" w:rsidP="00C21747">
      <w:pPr>
        <w:autoSpaceDE w:val="0"/>
        <w:autoSpaceDN w:val="0"/>
        <w:adjustRightInd w:val="0"/>
        <w:spacing w:before="120"/>
        <w:ind w:left="709"/>
        <w:jc w:val="both"/>
        <w:rPr>
          <w:rFonts w:ascii="Trebuchet MS" w:hAnsi="Trebuchet MS"/>
          <w:iCs/>
          <w:color w:val="000000"/>
          <w:sz w:val="20"/>
          <w:szCs w:val="23"/>
        </w:rPr>
      </w:pPr>
      <w:r w:rsidRPr="00C21747">
        <w:rPr>
          <w:rFonts w:ascii="Trebuchet MS" w:hAnsi="Trebuchet MS"/>
          <w:iCs/>
          <w:color w:val="000000"/>
          <w:sz w:val="20"/>
          <w:szCs w:val="23"/>
        </w:rPr>
        <w:t>L’assemblée est présidée par le gérant ou par l’un des gérants. La délibération est constatée par un procès-verbal qui indique la date et le lieu de la réunion, les nom, prénoms et qualité du président, les noms et prénoms des associés présents ou représentés avec l’indication du nombre de parts sociales détenues par chacun, les documents et rapports soumis à l’assemblée, un résumé des débats, le texte des ré solutions mises aux voix et le résultat des votes. Les procès-verbaux sont établis et signés par les gérants et, le cas échéant, par le président de séance.</w:t>
      </w:r>
    </w:p>
    <w:p w:rsidR="00C21747" w:rsidRPr="00C21747" w:rsidRDefault="00C21747" w:rsidP="00C21747">
      <w:pPr>
        <w:autoSpaceDE w:val="0"/>
        <w:autoSpaceDN w:val="0"/>
        <w:adjustRightInd w:val="0"/>
        <w:spacing w:before="120"/>
        <w:jc w:val="both"/>
        <w:rPr>
          <w:rFonts w:ascii="Trebuchet MS" w:hAnsi="Trebuchet MS"/>
          <w:iCs/>
          <w:color w:val="000000"/>
          <w:sz w:val="20"/>
          <w:szCs w:val="23"/>
        </w:rPr>
      </w:pPr>
    </w:p>
    <w:p w:rsidR="00C21747" w:rsidRDefault="00C21747" w:rsidP="00C21747">
      <w:pPr>
        <w:pStyle w:val="Paragraphedeliste"/>
        <w:numPr>
          <w:ilvl w:val="0"/>
          <w:numId w:val="177"/>
        </w:numPr>
        <w:autoSpaceDE w:val="0"/>
        <w:autoSpaceDN w:val="0"/>
        <w:adjustRightInd w:val="0"/>
        <w:spacing w:before="120" w:after="200" w:line="276" w:lineRule="auto"/>
        <w:ind w:left="709"/>
        <w:jc w:val="both"/>
        <w:rPr>
          <w:rFonts w:ascii="Trebuchet MS" w:hAnsi="Trebuchet MS"/>
          <w:iCs/>
          <w:color w:val="000000"/>
          <w:sz w:val="20"/>
          <w:szCs w:val="23"/>
        </w:rPr>
      </w:pPr>
      <w:r w:rsidRPr="00C21747">
        <w:rPr>
          <w:rFonts w:ascii="Trebuchet MS" w:hAnsi="Trebuchet MS"/>
          <w:iCs/>
          <w:color w:val="000000"/>
          <w:sz w:val="20"/>
          <w:szCs w:val="23"/>
        </w:rPr>
        <w:t xml:space="preserve">En cas de consultation écrite, le texte des résolutions proposées ainsi que les documents nécessaires </w:t>
      </w:r>
      <w:r w:rsidRPr="00C21747">
        <w:rPr>
          <w:rFonts w:ascii="Trebuchet MS" w:hAnsi="Trebuchet MS"/>
          <w:iCs/>
          <w:color w:val="000000"/>
          <w:sz w:val="20"/>
          <w:szCs w:val="23"/>
        </w:rPr>
        <w:br/>
        <w:t xml:space="preserve">à l’information des associés sont adressés à chacun d’eux par lettre recommandée avec demande d’avis de réception. Les associés disposent d’un délai minimal de quinze jours, à compter de la date </w:t>
      </w:r>
      <w:r w:rsidRPr="00C21747">
        <w:rPr>
          <w:rFonts w:ascii="Trebuchet MS" w:hAnsi="Trebuchet MS"/>
          <w:iCs/>
          <w:color w:val="000000"/>
          <w:sz w:val="20"/>
          <w:szCs w:val="23"/>
        </w:rPr>
        <w:br/>
        <w:t>de réception des projets de résolution pour émettre leur vote par écrit.</w:t>
      </w:r>
    </w:p>
    <w:p w:rsidR="00C21747" w:rsidRPr="00C21747" w:rsidRDefault="00C21747" w:rsidP="00C21747">
      <w:pPr>
        <w:pStyle w:val="Paragraphedeliste"/>
        <w:autoSpaceDE w:val="0"/>
        <w:autoSpaceDN w:val="0"/>
        <w:adjustRightInd w:val="0"/>
        <w:spacing w:before="120" w:after="200" w:line="276" w:lineRule="auto"/>
        <w:ind w:left="709"/>
        <w:jc w:val="both"/>
        <w:rPr>
          <w:rFonts w:ascii="Trebuchet MS" w:hAnsi="Trebuchet MS"/>
          <w:iCs/>
          <w:color w:val="000000"/>
          <w:sz w:val="20"/>
          <w:szCs w:val="23"/>
        </w:rPr>
      </w:pPr>
      <w:r w:rsidRPr="00C21747">
        <w:rPr>
          <w:rFonts w:ascii="Trebuchet MS" w:hAnsi="Trebuchet MS"/>
          <w:iCs/>
          <w:color w:val="000000"/>
          <w:sz w:val="20"/>
          <w:szCs w:val="23"/>
        </w:rPr>
        <w:t>La réponse est faite par lettre recommandée. Tout associé n’ayant pas répondu dans le délai ci-dessus est considéré comme s’étant abstenu.</w:t>
      </w:r>
    </w:p>
    <w:p w:rsidR="00C21747" w:rsidRPr="00C21747" w:rsidRDefault="00C21747" w:rsidP="00C21747">
      <w:pPr>
        <w:autoSpaceDE w:val="0"/>
        <w:autoSpaceDN w:val="0"/>
        <w:adjustRightInd w:val="0"/>
        <w:spacing w:before="120"/>
        <w:ind w:left="709"/>
        <w:jc w:val="both"/>
        <w:rPr>
          <w:rFonts w:ascii="Trebuchet MS" w:hAnsi="Trebuchet MS"/>
          <w:iCs/>
          <w:color w:val="000000"/>
          <w:spacing w:val="-4"/>
          <w:sz w:val="20"/>
          <w:szCs w:val="23"/>
        </w:rPr>
      </w:pPr>
      <w:r w:rsidRPr="00C21747">
        <w:rPr>
          <w:rFonts w:ascii="Trebuchet MS" w:hAnsi="Trebuchet MS"/>
          <w:iCs/>
          <w:color w:val="000000"/>
          <w:spacing w:val="-4"/>
          <w:sz w:val="20"/>
          <w:szCs w:val="23"/>
        </w:rPr>
        <w:t>La consultation est mentionnée dans un procès-verbal, auquel est annexée la réponse de chaque associé.</w:t>
      </w:r>
    </w:p>
    <w:p w:rsidR="00C21747" w:rsidRPr="00C21747" w:rsidRDefault="00C21747" w:rsidP="00C21747">
      <w:pPr>
        <w:autoSpaceDE w:val="0"/>
        <w:autoSpaceDN w:val="0"/>
        <w:adjustRightInd w:val="0"/>
        <w:spacing w:before="120"/>
        <w:ind w:left="709"/>
        <w:jc w:val="both"/>
        <w:rPr>
          <w:rFonts w:ascii="Trebuchet MS" w:hAnsi="Trebuchet MS"/>
          <w:iCs/>
          <w:color w:val="000000"/>
          <w:sz w:val="20"/>
          <w:szCs w:val="23"/>
        </w:rPr>
      </w:pPr>
      <w:r w:rsidRPr="00C21747">
        <w:rPr>
          <w:rFonts w:ascii="Trebuchet MS" w:hAnsi="Trebuchet MS"/>
          <w:iCs/>
          <w:color w:val="000000"/>
          <w:sz w:val="20"/>
          <w:szCs w:val="23"/>
        </w:rPr>
        <w:t>Chaque associé a le droit de participer aux décisions collectives et, dispose d'un nombre de voix égal à celui des parts qu'il possède.</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17 – Décisions collectives ordinaires</w:t>
      </w:r>
    </w:p>
    <w:p w:rsidR="001446EF" w:rsidRPr="001446EF" w:rsidRDefault="001446EF" w:rsidP="00C21747">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Sont qualifiées ordinaires, les décisions d’associés ne concernant ni l’agrément de nouveaux associés, </w:t>
      </w:r>
      <w:r w:rsidRPr="001446EF">
        <w:rPr>
          <w:rFonts w:ascii="Trebuchet MS" w:hAnsi="Trebuchet MS"/>
          <w:iCs/>
          <w:color w:val="000000"/>
          <w:sz w:val="20"/>
          <w:szCs w:val="23"/>
        </w:rPr>
        <w:br/>
        <w:t>ni la modification des statuts.</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z w:val="20"/>
          <w:szCs w:val="23"/>
        </w:rPr>
        <w:t xml:space="preserve">Ces décisions sont valablement adoptées par un ou plusieurs associés représentant plus de la moitié </w:t>
      </w:r>
      <w:r w:rsidRPr="001446EF">
        <w:rPr>
          <w:rFonts w:ascii="Trebuchet MS" w:hAnsi="Trebuchet MS"/>
          <w:iCs/>
          <w:color w:val="000000"/>
          <w:sz w:val="20"/>
          <w:szCs w:val="23"/>
        </w:rPr>
        <w:br/>
      </w:r>
      <w:r w:rsidRPr="001446EF">
        <w:rPr>
          <w:rFonts w:ascii="Trebuchet MS" w:hAnsi="Trebuchet MS"/>
          <w:iCs/>
          <w:color w:val="000000"/>
          <w:spacing w:val="-4"/>
          <w:sz w:val="20"/>
          <w:szCs w:val="23"/>
        </w:rPr>
        <w:t>des parts sociales. Si cette majorité n’est pas obtenue, les associés sont, selon le cas, convoqués ou consultés une seconde fois et, les décisions sont prises à la majorité des votes émis, quel que soit le nombre des votants.</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18 – Décisions collectives extraordinaires</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 xml:space="preserve">Sont qualifiées extraordinaires, les décisions des associés portant agrément de nouveaux associés </w:t>
      </w:r>
      <w:r w:rsidRPr="001446EF">
        <w:rPr>
          <w:rFonts w:ascii="Trebuchet MS" w:hAnsi="Trebuchet MS"/>
          <w:iCs/>
          <w:color w:val="000000"/>
          <w:spacing w:val="-4"/>
          <w:sz w:val="20"/>
          <w:szCs w:val="23"/>
        </w:rPr>
        <w:br/>
        <w:t>ou modification des statuts, sous réserve des exceptions prévues par la loi.</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Les modifications des statuts sont décidées à la majorité des deux tiers des parts détenues par les associés présents ou représentés. La décision n’est valablement adoptée que si les associés présents ou représentés possèdent au moins, sur première convocation, le quart des parts et, sur deuxième convocation, le cinquième de celles-ci.</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Toutefois :</w:t>
      </w:r>
    </w:p>
    <w:p w:rsidR="001446EF" w:rsidRPr="001446EF" w:rsidRDefault="001446EF" w:rsidP="001446EF">
      <w:pPr>
        <w:numPr>
          <w:ilvl w:val="0"/>
          <w:numId w:val="6"/>
        </w:numPr>
        <w:tabs>
          <w:tab w:val="clear" w:pos="720"/>
          <w:tab w:val="num" w:pos="284"/>
        </w:tabs>
        <w:overflowPunct w:val="0"/>
        <w:autoSpaceDE w:val="0"/>
        <w:autoSpaceDN w:val="0"/>
        <w:adjustRightInd w:val="0"/>
        <w:spacing w:before="120" w:line="276" w:lineRule="auto"/>
        <w:ind w:left="284" w:hanging="284"/>
        <w:jc w:val="both"/>
        <w:textAlignment w:val="baseline"/>
        <w:rPr>
          <w:rFonts w:ascii="Trebuchet MS" w:hAnsi="Trebuchet MS"/>
          <w:spacing w:val="-6"/>
          <w:sz w:val="20"/>
          <w:szCs w:val="20"/>
        </w:rPr>
      </w:pPr>
      <w:r w:rsidRPr="001446EF">
        <w:rPr>
          <w:rFonts w:ascii="Trebuchet MS" w:hAnsi="Trebuchet MS"/>
          <w:spacing w:val="-6"/>
          <w:sz w:val="20"/>
          <w:szCs w:val="20"/>
        </w:rPr>
        <w:t xml:space="preserve">le changement de nationalité de la société, l’augmentation des engagements des associés, </w:t>
      </w:r>
      <w:r w:rsidRPr="001446EF">
        <w:rPr>
          <w:rFonts w:ascii="Trebuchet MS" w:hAnsi="Trebuchet MS"/>
          <w:spacing w:val="-6"/>
          <w:sz w:val="20"/>
          <w:szCs w:val="20"/>
        </w:rPr>
        <w:br/>
        <w:t xml:space="preserve">ou la transformation de la société en société en nom collectif, en société en commandite simple </w:t>
      </w:r>
      <w:r w:rsidRPr="001446EF">
        <w:rPr>
          <w:rFonts w:ascii="Trebuchet MS" w:hAnsi="Trebuchet MS"/>
          <w:spacing w:val="-6"/>
          <w:sz w:val="20"/>
          <w:szCs w:val="20"/>
        </w:rPr>
        <w:br/>
        <w:t>ou par actions, ou en société par actions simplifiée, ne peuvent être décidés qu’à l’unanimité des associés ;</w:t>
      </w:r>
    </w:p>
    <w:p w:rsidR="001446EF" w:rsidRPr="001446EF" w:rsidRDefault="001446EF" w:rsidP="001446EF">
      <w:pPr>
        <w:numPr>
          <w:ilvl w:val="0"/>
          <w:numId w:val="6"/>
        </w:numPr>
        <w:tabs>
          <w:tab w:val="clear" w:pos="720"/>
          <w:tab w:val="num" w:pos="284"/>
        </w:tabs>
        <w:overflowPunct w:val="0"/>
        <w:autoSpaceDE w:val="0"/>
        <w:autoSpaceDN w:val="0"/>
        <w:adjustRightInd w:val="0"/>
        <w:spacing w:before="120" w:line="276" w:lineRule="auto"/>
        <w:ind w:left="284" w:hanging="284"/>
        <w:jc w:val="both"/>
        <w:textAlignment w:val="baseline"/>
        <w:rPr>
          <w:rFonts w:ascii="Trebuchet MS" w:hAnsi="Trebuchet MS"/>
          <w:spacing w:val="-4"/>
          <w:sz w:val="20"/>
          <w:szCs w:val="20"/>
        </w:rPr>
      </w:pPr>
      <w:r w:rsidRPr="001446EF">
        <w:rPr>
          <w:rFonts w:ascii="Trebuchet MS" w:hAnsi="Trebuchet MS"/>
          <w:spacing w:val="-4"/>
          <w:sz w:val="20"/>
          <w:szCs w:val="20"/>
        </w:rPr>
        <w:t xml:space="preserve">les parts sociales ne peuvent être cédées à des tiers étrangers à la société ou nanties qu’avec </w:t>
      </w:r>
      <w:r w:rsidRPr="001446EF">
        <w:rPr>
          <w:rFonts w:ascii="Trebuchet MS" w:hAnsi="Trebuchet MS"/>
          <w:spacing w:val="-4"/>
          <w:sz w:val="20"/>
          <w:szCs w:val="20"/>
        </w:rPr>
        <w:br/>
        <w:t>le consentement de la majorité des associés représentant au moins la moitié des parts sociales ;</w:t>
      </w:r>
    </w:p>
    <w:p w:rsidR="001446EF" w:rsidRPr="001446EF" w:rsidRDefault="001446EF" w:rsidP="001446EF">
      <w:pPr>
        <w:numPr>
          <w:ilvl w:val="0"/>
          <w:numId w:val="6"/>
        </w:numPr>
        <w:tabs>
          <w:tab w:val="clear" w:pos="720"/>
          <w:tab w:val="num" w:pos="284"/>
        </w:tabs>
        <w:overflowPunct w:val="0"/>
        <w:autoSpaceDE w:val="0"/>
        <w:autoSpaceDN w:val="0"/>
        <w:adjustRightInd w:val="0"/>
        <w:spacing w:before="120" w:line="276" w:lineRule="auto"/>
        <w:ind w:left="284" w:hanging="284"/>
        <w:jc w:val="both"/>
        <w:textAlignment w:val="baseline"/>
        <w:rPr>
          <w:rFonts w:ascii="Trebuchet MS" w:hAnsi="Trebuchet MS"/>
          <w:sz w:val="20"/>
          <w:szCs w:val="20"/>
        </w:rPr>
      </w:pPr>
      <w:r w:rsidRPr="001446EF">
        <w:rPr>
          <w:rFonts w:ascii="Trebuchet MS" w:hAnsi="Trebuchet MS"/>
          <w:sz w:val="20"/>
          <w:szCs w:val="20"/>
        </w:rPr>
        <w:t>la transformation en société anonyme, sous réserve que les capitaux propres figurant au dernier bilan excèdent 750 000 euros, est décidée par les associés représentant plus de la moitié des parts sociales ;</w:t>
      </w:r>
    </w:p>
    <w:p w:rsidR="001446EF" w:rsidRPr="001446EF" w:rsidRDefault="001446EF" w:rsidP="001446EF">
      <w:pPr>
        <w:numPr>
          <w:ilvl w:val="0"/>
          <w:numId w:val="6"/>
        </w:numPr>
        <w:tabs>
          <w:tab w:val="clear" w:pos="720"/>
          <w:tab w:val="num" w:pos="284"/>
        </w:tabs>
        <w:overflowPunct w:val="0"/>
        <w:autoSpaceDE w:val="0"/>
        <w:autoSpaceDN w:val="0"/>
        <w:adjustRightInd w:val="0"/>
        <w:spacing w:before="120" w:line="276" w:lineRule="auto"/>
        <w:ind w:left="284" w:hanging="284"/>
        <w:jc w:val="both"/>
        <w:textAlignment w:val="baseline"/>
        <w:rPr>
          <w:rFonts w:ascii="Trebuchet MS" w:hAnsi="Trebuchet MS"/>
          <w:sz w:val="20"/>
          <w:szCs w:val="20"/>
        </w:rPr>
      </w:pPr>
      <w:r w:rsidRPr="001446EF">
        <w:rPr>
          <w:rFonts w:ascii="Trebuchet MS" w:hAnsi="Trebuchet MS"/>
          <w:sz w:val="20"/>
          <w:szCs w:val="20"/>
        </w:rPr>
        <w:t>l’augmentation de capital par incorporation de réserves ou de bénéfices est décidée par des associés représentant au moins la moitié des parts sociales.</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19 – Droit de communication des associés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Lors de toute consultation des associés, chacun d’eux a le droit d’obtenir communication des documents et informations nécessaires pour lui permettre de se prononcer en connaissance de cause et de porter </w:t>
      </w:r>
      <w:r w:rsidRPr="001446EF">
        <w:rPr>
          <w:rFonts w:ascii="Trebuchet MS" w:hAnsi="Trebuchet MS"/>
          <w:iCs/>
          <w:color w:val="000000"/>
          <w:sz w:val="20"/>
          <w:szCs w:val="23"/>
        </w:rPr>
        <w:br/>
        <w:t>un jugement sur la gestion de la société. La nature de ces documents et les conditions de leur envoi ou mise à disposition sont déterminées par la loi.</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20 - Année sociale</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L’année sociale commence le …/…/…… et finit le …/…/…….</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Exceptionnellement, le premier exercice social comprendra le temps écoulé depuis l’immatriculation </w:t>
      </w:r>
      <w:r w:rsidRPr="001446EF">
        <w:rPr>
          <w:rFonts w:ascii="Trebuchet MS" w:hAnsi="Trebuchet MS"/>
          <w:iCs/>
          <w:color w:val="000000"/>
          <w:sz w:val="20"/>
          <w:szCs w:val="23"/>
        </w:rPr>
        <w:br/>
        <w:t>de la société au Registre du commerce et des sociétés jusqu’au …/…/…….</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En outre, les actes accomplis pour son compte pendant la période de constitution et repris par la société seront rattachés à cet exercice.</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21 - Affectation des résultats et répartition des bénéfices</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 xml:space="preserve">La différence entre les produits et les charges de l’exercice, après déduction des amortissements </w:t>
      </w:r>
      <w:r w:rsidRPr="001446EF">
        <w:rPr>
          <w:rFonts w:ascii="Trebuchet MS" w:hAnsi="Trebuchet MS"/>
          <w:iCs/>
          <w:color w:val="000000"/>
          <w:spacing w:val="-4"/>
          <w:sz w:val="20"/>
          <w:szCs w:val="23"/>
        </w:rPr>
        <w:br/>
        <w:t>et des provisions, constitue le bénéfice ou la perte de l’exercice.</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Sur le bénéfice diminué, le cas échéant, des pertes antérieures, il est prélevé cinq pour cent (5 %) pour constituer le fonds de réserve légale. </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Ce prélèvement cesse d’être obligatoire lorsque le fonds de réserve a atteint une somme égale au dixième du capital social. Il reprend son cours lorsque, pour une cause quelconque, la réserve est descendue </w:t>
      </w:r>
      <w:r w:rsidRPr="001446EF">
        <w:rPr>
          <w:rFonts w:ascii="Trebuchet MS" w:hAnsi="Trebuchet MS"/>
          <w:iCs/>
          <w:color w:val="000000"/>
          <w:sz w:val="20"/>
          <w:szCs w:val="23"/>
        </w:rPr>
        <w:br/>
        <w:t>au-dessous de ce dixième.</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Le bénéfice distribuable est constitué par le bénéfice de l’exercice, diminué des pertes antérieures </w:t>
      </w:r>
      <w:r w:rsidRPr="001446EF">
        <w:rPr>
          <w:rFonts w:ascii="Trebuchet MS" w:hAnsi="Trebuchet MS"/>
          <w:iCs/>
          <w:color w:val="000000"/>
          <w:sz w:val="20"/>
          <w:szCs w:val="23"/>
        </w:rPr>
        <w:br/>
        <w:t xml:space="preserve">et du prélèvement prévu ci-dessus et augmenté des reports bénéficiaires. Ce bénéfice est à la disposition de l’assemblée qui, sur la proposition de la gérance, peut, en tout ou en partie, le reporter à nouveau, l’affecter à des fonds de réserve généraux ou spéciaux, ou le distribuer aux associés à titre de dividende proportionnellement aux parts. En outre, l’assemblée générale peut décider la distribution de réserves dont elle a la disposition ; sa décision indique expressément les postes de réserves sur lesquels </w:t>
      </w:r>
      <w:r w:rsidRPr="001446EF">
        <w:rPr>
          <w:rFonts w:ascii="Trebuchet MS" w:hAnsi="Trebuchet MS"/>
          <w:iCs/>
          <w:color w:val="000000"/>
          <w:sz w:val="20"/>
          <w:szCs w:val="23"/>
        </w:rPr>
        <w:br/>
        <w:t>les prélèvements sont effectués. Toutefois, le dividende est prélevé par priorité sur le bénéfice distribuable de l’exercice.</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22 – Capitaux propres inférieurs à la moitié du capital social</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Si, du fait de pertes constatées dans les documents comptables, les capitaux propres de la société deviennent inférieurs à la moitié du capital social, l'assemblée statuant à la majorité requise pour </w:t>
      </w:r>
      <w:r w:rsidRPr="001446EF">
        <w:rPr>
          <w:rFonts w:ascii="Trebuchet MS" w:hAnsi="Trebuchet MS"/>
          <w:iCs/>
          <w:color w:val="000000"/>
          <w:sz w:val="20"/>
          <w:szCs w:val="23"/>
        </w:rPr>
        <w:br/>
        <w:t>la modification des statuts doit, dans les quatre mois qui suivent l'approbation des comptes ayant fait apparaître cette perte, décider, s'il y a lieu à dissolution anticipée de la société.</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Si la dissolution n'est pas prononcée, le capital doit être, sous réserve des dispositions légales relatives </w:t>
      </w:r>
      <w:r w:rsidRPr="001446EF">
        <w:rPr>
          <w:rFonts w:ascii="Trebuchet MS" w:hAnsi="Trebuchet MS"/>
          <w:iCs/>
          <w:color w:val="000000"/>
          <w:sz w:val="20"/>
          <w:szCs w:val="23"/>
        </w:rPr>
        <w:br/>
        <w:t xml:space="preserve">au capital minimum dans les sociétés à responsabilité limitée et, dans le délai fixé par la loi, réduit </w:t>
      </w:r>
      <w:r w:rsidRPr="001446EF">
        <w:rPr>
          <w:rFonts w:ascii="Trebuchet MS" w:hAnsi="Trebuchet MS"/>
          <w:iCs/>
          <w:color w:val="000000"/>
          <w:sz w:val="20"/>
          <w:szCs w:val="23"/>
        </w:rPr>
        <w:br/>
        <w:t xml:space="preserve">d'un montant égal à celui des pertes qui n'ont pu être imputées sur les réserves si dans ce délai </w:t>
      </w:r>
      <w:r w:rsidRPr="001446EF">
        <w:rPr>
          <w:rFonts w:ascii="Trebuchet MS" w:hAnsi="Trebuchet MS"/>
          <w:iCs/>
          <w:color w:val="000000"/>
          <w:sz w:val="20"/>
          <w:szCs w:val="23"/>
        </w:rPr>
        <w:br/>
        <w:t>les capitaux propres ne sont pas redevenus au moins égaux à la moitié du capital social.</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Dans tous les cas, la décision de la collectivité des associés doit être publiée dans les conditions légales </w:t>
      </w:r>
      <w:r w:rsidRPr="001446EF">
        <w:rPr>
          <w:rFonts w:ascii="Trebuchet MS" w:hAnsi="Trebuchet MS"/>
          <w:iCs/>
          <w:color w:val="000000"/>
          <w:sz w:val="20"/>
          <w:szCs w:val="23"/>
        </w:rPr>
        <w:br/>
        <w:t>et réglementaires.</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 xml:space="preserve">En cas d'inobservation de ces prescriptions, tout intéressé peut demander en justice la dissolution </w:t>
      </w:r>
      <w:r w:rsidRPr="001446EF">
        <w:rPr>
          <w:rFonts w:ascii="Trebuchet MS" w:hAnsi="Trebuchet MS"/>
          <w:iCs/>
          <w:color w:val="000000"/>
          <w:spacing w:val="-4"/>
          <w:sz w:val="20"/>
          <w:szCs w:val="23"/>
        </w:rPr>
        <w:br/>
        <w:t>de la société. Il en est de même si l'assemblée n'a pu délibérer valablement.</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Toutefois, le tribunal ne peut prononcer la dissolution si, au jour où il statue sur le fond, la régularisation a eu lieu.</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pacing w:val="-4"/>
          <w:sz w:val="20"/>
          <w:szCs w:val="23"/>
        </w:rPr>
      </w:pPr>
      <w:r w:rsidRPr="001446EF">
        <w:rPr>
          <w:rFonts w:ascii="Trebuchet MS" w:hAnsi="Trebuchet MS"/>
          <w:b/>
          <w:bCs/>
          <w:iCs/>
          <w:color w:val="C00000"/>
          <w:spacing w:val="-4"/>
          <w:sz w:val="20"/>
          <w:szCs w:val="23"/>
        </w:rPr>
        <w:t>Article 23 - Nomination du (ou des) premiers(s) gérants(s) et (éventuellement) des premiers commissaires aux comptes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Le(s) premier(s) gérant(s) de la société, nommé(s) sans limitation de durée (</w:t>
      </w:r>
      <w:r w:rsidRPr="001446EF">
        <w:rPr>
          <w:rFonts w:ascii="Trebuchet MS" w:hAnsi="Trebuchet MS"/>
          <w:bCs/>
          <w:i/>
          <w:iCs/>
          <w:color w:val="000000"/>
          <w:sz w:val="20"/>
          <w:szCs w:val="23"/>
        </w:rPr>
        <w:t>ou</w:t>
      </w:r>
      <w:r w:rsidRPr="001446EF">
        <w:rPr>
          <w:rFonts w:ascii="Trebuchet MS" w:hAnsi="Trebuchet MS"/>
          <w:iCs/>
          <w:color w:val="000000"/>
          <w:sz w:val="20"/>
          <w:szCs w:val="23"/>
        </w:rPr>
        <w:t> : pour une durée de : ………) est (sont) :</w:t>
      </w:r>
    </w:p>
    <w:p w:rsidR="001446EF" w:rsidRPr="001446EF" w:rsidRDefault="001446EF" w:rsidP="001446EF">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1446EF">
        <w:rPr>
          <w:rFonts w:ascii="Trebuchet MS" w:hAnsi="Trebuchet MS"/>
          <w:bCs/>
          <w:iCs/>
          <w:color w:val="000000"/>
          <w:sz w:val="20"/>
          <w:szCs w:val="23"/>
        </w:rPr>
        <w:t xml:space="preserve">- </w:t>
      </w:r>
      <w:r w:rsidRPr="001446EF">
        <w:rPr>
          <w:rFonts w:ascii="Arial" w:hAnsi="Arial" w:cs="Arial"/>
          <w:bCs/>
          <w:iCs/>
          <w:color w:val="000000"/>
          <w:sz w:val="20"/>
          <w:szCs w:val="23"/>
        </w:rPr>
        <w:tab/>
      </w:r>
      <w:r w:rsidRPr="001446EF">
        <w:rPr>
          <w:rFonts w:ascii="Arial" w:hAnsi="Arial" w:cs="Arial"/>
          <w:bCs/>
          <w:iCs/>
          <w:color w:val="000000"/>
          <w:sz w:val="20"/>
          <w:szCs w:val="23"/>
        </w:rPr>
        <w:tab/>
      </w:r>
    </w:p>
    <w:p w:rsidR="001446EF" w:rsidRPr="001446EF" w:rsidRDefault="001446EF" w:rsidP="001446EF">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1446EF">
        <w:rPr>
          <w:rFonts w:ascii="Trebuchet MS" w:hAnsi="Trebuchet MS"/>
          <w:bCs/>
          <w:iCs/>
          <w:color w:val="000000"/>
          <w:sz w:val="20"/>
          <w:szCs w:val="23"/>
        </w:rPr>
        <w:t xml:space="preserve">- </w:t>
      </w:r>
      <w:r w:rsidRPr="001446EF">
        <w:rPr>
          <w:rFonts w:ascii="Arial" w:hAnsi="Arial" w:cs="Arial"/>
          <w:bCs/>
          <w:iCs/>
          <w:color w:val="000000"/>
          <w:sz w:val="20"/>
          <w:szCs w:val="23"/>
        </w:rPr>
        <w:tab/>
      </w:r>
      <w:r w:rsidRPr="001446EF">
        <w:rPr>
          <w:rFonts w:ascii="Arial" w:hAnsi="Arial" w:cs="Arial"/>
          <w:bCs/>
          <w:iCs/>
          <w:color w:val="000000"/>
          <w:sz w:val="20"/>
          <w:szCs w:val="23"/>
        </w:rPr>
        <w:tab/>
      </w:r>
    </w:p>
    <w:p w:rsidR="001446EF" w:rsidRPr="001446EF" w:rsidRDefault="001446EF" w:rsidP="001446EF">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1446EF">
        <w:rPr>
          <w:rFonts w:ascii="Trebuchet MS" w:hAnsi="Trebuchet MS"/>
          <w:bCs/>
          <w:iCs/>
          <w:color w:val="000000"/>
          <w:sz w:val="20"/>
          <w:szCs w:val="23"/>
        </w:rPr>
        <w:t xml:space="preserve">- </w:t>
      </w:r>
      <w:r w:rsidRPr="001446EF">
        <w:rPr>
          <w:rFonts w:ascii="Arial" w:hAnsi="Arial" w:cs="Arial"/>
          <w:bCs/>
          <w:iCs/>
          <w:color w:val="000000"/>
          <w:sz w:val="20"/>
          <w:szCs w:val="23"/>
        </w:rPr>
        <w:tab/>
      </w:r>
      <w:r w:rsidRPr="001446EF">
        <w:rPr>
          <w:rFonts w:ascii="Arial" w:hAnsi="Arial" w:cs="Arial"/>
          <w:bCs/>
          <w:iCs/>
          <w:color w:val="000000"/>
          <w:sz w:val="20"/>
          <w:szCs w:val="23"/>
        </w:rPr>
        <w:tab/>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Le(s) gérant(s) ainsi nommé(s) est (sont) tenu(s) de consacrer tout le temps nécessaire aux affaires sociales.</w:t>
      </w:r>
    </w:p>
    <w:p w:rsidR="001446EF" w:rsidRPr="001446EF" w:rsidRDefault="001446EF" w:rsidP="001446EF">
      <w:pPr>
        <w:autoSpaceDE w:val="0"/>
        <w:autoSpaceDN w:val="0"/>
        <w:adjustRightInd w:val="0"/>
        <w:spacing w:before="200"/>
        <w:jc w:val="both"/>
        <w:rPr>
          <w:rFonts w:ascii="Trebuchet MS" w:hAnsi="Trebuchet MS"/>
          <w:b/>
          <w:i/>
          <w:iCs/>
          <w:color w:val="000000"/>
          <w:sz w:val="20"/>
          <w:szCs w:val="23"/>
        </w:rPr>
      </w:pPr>
      <w:r w:rsidRPr="001446EF">
        <w:rPr>
          <w:rFonts w:ascii="Trebuchet MS" w:hAnsi="Trebuchet MS"/>
          <w:b/>
          <w:bCs/>
          <w:i/>
          <w:iCs/>
          <w:color w:val="000000"/>
          <w:sz w:val="20"/>
          <w:szCs w:val="23"/>
        </w:rPr>
        <w:t>(Éventuellement,</w:t>
      </w:r>
      <w:r w:rsidRPr="001446EF">
        <w:rPr>
          <w:rFonts w:ascii="Trebuchet MS" w:hAnsi="Trebuchet MS"/>
          <w:b/>
          <w:i/>
          <w:iCs/>
          <w:color w:val="000000"/>
          <w:sz w:val="20"/>
          <w:szCs w:val="23"/>
        </w:rPr>
        <w:t xml:space="preserve"> si la SARL dépasse les seuils prévus par les textes ou si les associés le souhaitent) :</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M. ……… est nommé commissaire aux comptes titulaire pour une durée de six exercices.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M. ……… est nommé commissaire aux comptes suppléant. Il exercera, le cas échéant, ses fonctions pour </w:t>
      </w:r>
      <w:r w:rsidRPr="001446EF">
        <w:rPr>
          <w:rFonts w:ascii="Trebuchet MS" w:hAnsi="Trebuchet MS"/>
          <w:iCs/>
          <w:color w:val="000000"/>
          <w:sz w:val="20"/>
          <w:szCs w:val="23"/>
        </w:rPr>
        <w:br/>
        <w:t>le temps restant à courir du mandat confié au titulaire ou pendant le temps où celui-ci sera temporairement empêché.</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pacing w:val="-6"/>
          <w:sz w:val="20"/>
          <w:szCs w:val="23"/>
        </w:rPr>
      </w:pPr>
      <w:r w:rsidRPr="001446EF">
        <w:rPr>
          <w:rFonts w:ascii="Trebuchet MS" w:hAnsi="Trebuchet MS"/>
          <w:b/>
          <w:bCs/>
          <w:iCs/>
          <w:color w:val="C00000"/>
          <w:spacing w:val="-6"/>
          <w:sz w:val="20"/>
          <w:szCs w:val="23"/>
        </w:rPr>
        <w:t>Article 24 - Jouissance de la personnalité morale - Immatriculation au Registre du commerce et des sociétés - Engagements de la période de formation</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La société jouira de la personnalité morale à dater de son immatriculation au Registre du commerce </w:t>
      </w:r>
      <w:r w:rsidRPr="001446EF">
        <w:rPr>
          <w:rFonts w:ascii="Trebuchet MS" w:hAnsi="Trebuchet MS"/>
          <w:iCs/>
          <w:color w:val="000000"/>
          <w:sz w:val="20"/>
          <w:szCs w:val="23"/>
        </w:rPr>
        <w:br/>
        <w:t>et des sociétés.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L’état des actes accomplis au nom de la société en formation, avec indication pour chacun d’eux </w:t>
      </w:r>
      <w:r w:rsidRPr="001446EF">
        <w:rPr>
          <w:rFonts w:ascii="Trebuchet MS" w:hAnsi="Trebuchet MS"/>
          <w:iCs/>
          <w:color w:val="000000"/>
          <w:sz w:val="20"/>
          <w:szCs w:val="23"/>
        </w:rPr>
        <w:br/>
        <w:t>de l’engagement qui en résulte pour la société, est annexé aux présents statuts dont la signature emportera reprise desdits engagements par la société lorsque celle-ci aura été immatriculée au Registre du commerce et des sociétés. Cet état a été tenu à la disposition des associés depuis le …/…/……</w:t>
      </w:r>
      <w:r w:rsidRPr="001446EF">
        <w:rPr>
          <w:rFonts w:ascii="Trebuchet MS" w:hAnsi="Trebuchet MS"/>
          <w:iCs/>
          <w:color w:val="000000"/>
          <w:sz w:val="20"/>
          <w:szCs w:val="23"/>
        </w:rPr>
        <w:br/>
        <w:t>à l’adresse prévue du siège social.</w:t>
      </w:r>
    </w:p>
    <w:p w:rsidR="001446EF" w:rsidRPr="001446EF" w:rsidRDefault="001446EF" w:rsidP="001446EF">
      <w:pPr>
        <w:autoSpaceDE w:val="0"/>
        <w:autoSpaceDN w:val="0"/>
        <w:adjustRightInd w:val="0"/>
        <w:spacing w:before="120"/>
        <w:jc w:val="both"/>
        <w:rPr>
          <w:rFonts w:ascii="Trebuchet MS" w:hAnsi="Trebuchet MS"/>
          <w:b/>
          <w:bCs/>
          <w:i/>
          <w:iCs/>
          <w:color w:val="000000"/>
          <w:sz w:val="20"/>
          <w:szCs w:val="23"/>
        </w:rPr>
      </w:pPr>
      <w:r w:rsidRPr="001446EF">
        <w:rPr>
          <w:rFonts w:ascii="Trebuchet MS" w:hAnsi="Trebuchet MS"/>
          <w:b/>
          <w:bCs/>
          <w:i/>
          <w:iCs/>
          <w:color w:val="000000"/>
          <w:sz w:val="20"/>
          <w:szCs w:val="23"/>
        </w:rPr>
        <w:t>(Ajouter éventuellement) :</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Les associés donnent mandat à M. ……… de prendre pour le compte de la société les engagements suivants :</w:t>
      </w:r>
    </w:p>
    <w:p w:rsidR="001446EF" w:rsidRPr="001446EF" w:rsidRDefault="001446EF" w:rsidP="001446EF">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1446EF">
        <w:rPr>
          <w:rFonts w:ascii="Trebuchet MS" w:hAnsi="Trebuchet MS"/>
          <w:bCs/>
          <w:iCs/>
          <w:color w:val="000000"/>
          <w:sz w:val="20"/>
          <w:szCs w:val="23"/>
        </w:rPr>
        <w:t xml:space="preserve">- </w:t>
      </w:r>
      <w:r w:rsidRPr="001446EF">
        <w:rPr>
          <w:rFonts w:ascii="Arial" w:hAnsi="Arial" w:cs="Arial"/>
          <w:bCs/>
          <w:iCs/>
          <w:color w:val="000000"/>
          <w:sz w:val="20"/>
          <w:szCs w:val="23"/>
        </w:rPr>
        <w:tab/>
      </w:r>
      <w:r w:rsidRPr="001446EF">
        <w:rPr>
          <w:rFonts w:ascii="Arial" w:hAnsi="Arial" w:cs="Arial"/>
          <w:bCs/>
          <w:iCs/>
          <w:color w:val="000000"/>
          <w:sz w:val="20"/>
          <w:szCs w:val="23"/>
        </w:rPr>
        <w:tab/>
      </w:r>
    </w:p>
    <w:p w:rsidR="001446EF" w:rsidRPr="001446EF" w:rsidRDefault="001446EF" w:rsidP="001446EF">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1446EF">
        <w:rPr>
          <w:rFonts w:ascii="Trebuchet MS" w:hAnsi="Trebuchet MS"/>
          <w:bCs/>
          <w:iCs/>
          <w:color w:val="000000"/>
          <w:sz w:val="20"/>
          <w:szCs w:val="23"/>
        </w:rPr>
        <w:t xml:space="preserve">- </w:t>
      </w:r>
      <w:r w:rsidRPr="001446EF">
        <w:rPr>
          <w:rFonts w:ascii="Arial" w:hAnsi="Arial" w:cs="Arial"/>
          <w:bCs/>
          <w:iCs/>
          <w:color w:val="000000"/>
          <w:sz w:val="20"/>
          <w:szCs w:val="23"/>
        </w:rPr>
        <w:tab/>
      </w:r>
      <w:r w:rsidRPr="001446EF">
        <w:rPr>
          <w:rFonts w:ascii="Arial" w:hAnsi="Arial" w:cs="Arial"/>
          <w:bCs/>
          <w:iCs/>
          <w:color w:val="000000"/>
          <w:sz w:val="20"/>
          <w:szCs w:val="23"/>
        </w:rPr>
        <w:tab/>
      </w:r>
    </w:p>
    <w:p w:rsidR="001446EF" w:rsidRPr="001446EF" w:rsidRDefault="001446EF" w:rsidP="001446EF">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1446EF">
        <w:rPr>
          <w:rFonts w:ascii="Trebuchet MS" w:hAnsi="Trebuchet MS"/>
          <w:bCs/>
          <w:iCs/>
          <w:color w:val="000000"/>
          <w:sz w:val="20"/>
          <w:szCs w:val="23"/>
        </w:rPr>
        <w:t xml:space="preserve">- </w:t>
      </w:r>
      <w:r w:rsidRPr="001446EF">
        <w:rPr>
          <w:rFonts w:ascii="Arial" w:hAnsi="Arial" w:cs="Arial"/>
          <w:bCs/>
          <w:iCs/>
          <w:color w:val="000000"/>
          <w:sz w:val="20"/>
          <w:szCs w:val="23"/>
        </w:rPr>
        <w:tab/>
      </w:r>
      <w:r w:rsidRPr="001446EF">
        <w:rPr>
          <w:rFonts w:ascii="Arial" w:hAnsi="Arial" w:cs="Arial"/>
          <w:bCs/>
          <w:iCs/>
          <w:color w:val="000000"/>
          <w:sz w:val="20"/>
          <w:szCs w:val="23"/>
        </w:rPr>
        <w:tab/>
      </w:r>
    </w:p>
    <w:p w:rsidR="001446EF" w:rsidRPr="001446EF" w:rsidRDefault="001446EF" w:rsidP="00C21747">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 xml:space="preserve">Ces engagements seront également repris par la société par le fait de son immatriculation au registre </w:t>
      </w:r>
      <w:r w:rsidRPr="001446EF">
        <w:rPr>
          <w:rFonts w:ascii="Trebuchet MS" w:hAnsi="Trebuchet MS"/>
          <w:iCs/>
          <w:color w:val="000000"/>
          <w:sz w:val="20"/>
          <w:szCs w:val="23"/>
        </w:rPr>
        <w:br/>
        <w:t>du commerce et des sociétés.</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z w:val="20"/>
          <w:szCs w:val="23"/>
        </w:rPr>
        <w:t xml:space="preserve">Le ou les gérants sont en outre expressément habilités, dès leur nomination, à passer et à souscrire, </w:t>
      </w:r>
      <w:r w:rsidRPr="001446EF">
        <w:rPr>
          <w:rFonts w:ascii="Trebuchet MS" w:hAnsi="Trebuchet MS"/>
          <w:iCs/>
          <w:color w:val="000000"/>
          <w:sz w:val="20"/>
          <w:szCs w:val="23"/>
        </w:rPr>
        <w:br/>
        <w:t xml:space="preserve">pour le compte de la société, les actes et engagements entrant dans leurs pouvoirs statutaires et légaux. Ces actes et engagements seront réputés avoir été faits et souscrits dès l’origine par la société, </w:t>
      </w:r>
      <w:r w:rsidRPr="001446EF">
        <w:rPr>
          <w:rFonts w:ascii="Trebuchet MS" w:hAnsi="Trebuchet MS"/>
          <w:iCs/>
          <w:color w:val="000000"/>
          <w:sz w:val="20"/>
          <w:szCs w:val="23"/>
        </w:rPr>
        <w:br/>
      </w:r>
      <w:r w:rsidRPr="001446EF">
        <w:rPr>
          <w:rFonts w:ascii="Trebuchet MS" w:hAnsi="Trebuchet MS"/>
          <w:iCs/>
          <w:color w:val="000000"/>
          <w:spacing w:val="-4"/>
          <w:sz w:val="20"/>
          <w:szCs w:val="23"/>
        </w:rPr>
        <w:t xml:space="preserve">après autorisation par une décision ordinaire des associés, postérieurement à l’immatriculation de la société </w:t>
      </w:r>
      <w:r w:rsidRPr="001446EF">
        <w:rPr>
          <w:rFonts w:ascii="Trebuchet MS" w:hAnsi="Trebuchet MS"/>
          <w:iCs/>
          <w:color w:val="000000"/>
          <w:spacing w:val="-4"/>
          <w:sz w:val="20"/>
          <w:szCs w:val="23"/>
        </w:rPr>
        <w:br/>
        <w:t>au Registre du commerce, de par leur conformité avec le mandat ci-dessus défini et au plus tard par l’approbation des comptes du premier exercice social.</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25 - Publicité - Pouvoirs</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 xml:space="preserve">Les formalités de publicité prescrites par la loi et les règlements sont effectuées à la diligence de la gérance. M. ……… </w:t>
      </w:r>
      <w:r w:rsidRPr="001446EF">
        <w:rPr>
          <w:rFonts w:ascii="Trebuchet MS" w:hAnsi="Trebuchet MS"/>
          <w:i/>
          <w:iCs/>
          <w:color w:val="000000"/>
          <w:spacing w:val="-4"/>
          <w:sz w:val="20"/>
          <w:szCs w:val="23"/>
        </w:rPr>
        <w:t>(l’un des fondateurs ou premiers associés)</w:t>
      </w:r>
      <w:r w:rsidRPr="001446EF">
        <w:rPr>
          <w:rFonts w:ascii="Trebuchet MS" w:hAnsi="Trebuchet MS"/>
          <w:iCs/>
          <w:color w:val="000000"/>
          <w:spacing w:val="-4"/>
          <w:sz w:val="20"/>
          <w:szCs w:val="23"/>
        </w:rPr>
        <w:t xml:space="preserve"> est spécialement mandaté pour signer l’avis à insérer </w:t>
      </w:r>
      <w:r w:rsidRPr="001446EF">
        <w:rPr>
          <w:rFonts w:ascii="Trebuchet MS" w:hAnsi="Trebuchet MS"/>
          <w:iCs/>
          <w:color w:val="000000"/>
          <w:spacing w:val="-4"/>
          <w:sz w:val="20"/>
          <w:szCs w:val="23"/>
        </w:rPr>
        <w:br/>
        <w:t>dans un journal habilité à recevoir les annonces légales dans le département du siège social.</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26 – Frais</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Tous les frais, droits et honoraires des présents statuts et de leurs suites seront pris en charge par la société lorsqu’elle aura été immatriculée au Registre du commerce et des sociétés.</w:t>
      </w:r>
    </w:p>
    <w:p w:rsidR="001446EF" w:rsidRPr="001446EF" w:rsidRDefault="001446EF" w:rsidP="001446EF">
      <w:pPr>
        <w:tabs>
          <w:tab w:val="left" w:leader="dot" w:pos="2977"/>
          <w:tab w:val="left" w:pos="3686"/>
          <w:tab w:val="left" w:leader="dot" w:pos="4395"/>
        </w:tabs>
        <w:spacing w:before="600"/>
        <w:jc w:val="both"/>
        <w:rPr>
          <w:rFonts w:ascii="Trebuchet MS" w:hAnsi="Trebuchet MS"/>
          <w:sz w:val="20"/>
          <w:szCs w:val="22"/>
        </w:rPr>
      </w:pPr>
      <w:r w:rsidRPr="001446EF">
        <w:rPr>
          <w:rFonts w:ascii="Trebuchet MS" w:hAnsi="Trebuchet MS"/>
          <w:sz w:val="20"/>
          <w:szCs w:val="22"/>
        </w:rPr>
        <w:t xml:space="preserve">Fait à </w:t>
      </w:r>
      <w:r w:rsidRPr="001446EF">
        <w:rPr>
          <w:rFonts w:ascii="Arial" w:hAnsi="Arial" w:cs="Arial"/>
          <w:sz w:val="20"/>
          <w:szCs w:val="22"/>
        </w:rPr>
        <w:tab/>
      </w:r>
      <w:r w:rsidRPr="001446EF">
        <w:rPr>
          <w:rFonts w:ascii="Trebuchet MS" w:hAnsi="Trebuchet MS"/>
          <w:sz w:val="20"/>
          <w:szCs w:val="22"/>
        </w:rPr>
        <w:tab/>
        <w:t xml:space="preserve">Le </w:t>
      </w:r>
      <w:r w:rsidRPr="001446EF">
        <w:rPr>
          <w:rFonts w:ascii="Arial" w:hAnsi="Arial" w:cs="Arial"/>
          <w:sz w:val="20"/>
          <w:szCs w:val="22"/>
        </w:rPr>
        <w:t>…</w:t>
      </w:r>
      <w:r w:rsidRPr="001446EF">
        <w:rPr>
          <w:rFonts w:ascii="Trebuchet MS" w:hAnsi="Trebuchet MS"/>
          <w:sz w:val="20"/>
          <w:szCs w:val="22"/>
        </w:rPr>
        <w:t>/</w:t>
      </w:r>
      <w:r w:rsidRPr="001446EF">
        <w:rPr>
          <w:rFonts w:ascii="Arial" w:hAnsi="Arial" w:cs="Arial"/>
          <w:sz w:val="20"/>
          <w:szCs w:val="22"/>
        </w:rPr>
        <w:t>…</w:t>
      </w:r>
      <w:r w:rsidRPr="001446EF">
        <w:rPr>
          <w:rFonts w:ascii="Trebuchet MS" w:hAnsi="Trebuchet MS"/>
          <w:sz w:val="20"/>
          <w:szCs w:val="22"/>
        </w:rPr>
        <w:t>/</w:t>
      </w:r>
      <w:r w:rsidRPr="001446EF">
        <w:rPr>
          <w:rFonts w:ascii="Arial" w:hAnsi="Arial" w:cs="Arial"/>
          <w:sz w:val="20"/>
          <w:szCs w:val="22"/>
        </w:rPr>
        <w:t>……</w:t>
      </w:r>
    </w:p>
    <w:p w:rsidR="001446EF" w:rsidRPr="001446EF" w:rsidRDefault="001446EF" w:rsidP="001446EF">
      <w:pPr>
        <w:autoSpaceDE w:val="0"/>
        <w:autoSpaceDN w:val="0"/>
        <w:adjustRightInd w:val="0"/>
        <w:spacing w:before="240"/>
        <w:jc w:val="both"/>
        <w:rPr>
          <w:rFonts w:ascii="Trebuchet MS" w:hAnsi="Trebuchet MS"/>
          <w:iCs/>
          <w:color w:val="000000"/>
          <w:spacing w:val="-4"/>
          <w:sz w:val="20"/>
          <w:szCs w:val="23"/>
        </w:rPr>
      </w:pPr>
      <w:r w:rsidRPr="001446EF">
        <w:rPr>
          <w:rFonts w:ascii="Trebuchet MS" w:hAnsi="Trebuchet MS"/>
          <w:iCs/>
          <w:color w:val="000000"/>
          <w:spacing w:val="-4"/>
          <w:sz w:val="20"/>
          <w:szCs w:val="23"/>
        </w:rPr>
        <w:t xml:space="preserve">En six exemplaires originaux dont un pour l’enregistrement, deux pour le dépôt au greffe, un pour le dépôt </w:t>
      </w:r>
      <w:r w:rsidRPr="001446EF">
        <w:rPr>
          <w:rFonts w:ascii="Trebuchet MS" w:hAnsi="Trebuchet MS"/>
          <w:iCs/>
          <w:color w:val="000000"/>
          <w:spacing w:val="-4"/>
          <w:sz w:val="20"/>
          <w:szCs w:val="23"/>
        </w:rPr>
        <w:br/>
        <w:t>au siège social, un pour le Conseil régional de l’Ordre des experts-comptables et un pour la Compagnie régionale des commissaires aux comptes.</w:t>
      </w:r>
    </w:p>
    <w:p w:rsidR="001446EF" w:rsidRPr="001446EF" w:rsidRDefault="001446EF" w:rsidP="001446EF">
      <w:pPr>
        <w:autoSpaceDE w:val="0"/>
        <w:autoSpaceDN w:val="0"/>
        <w:adjustRightInd w:val="0"/>
        <w:spacing w:before="240"/>
        <w:jc w:val="both"/>
        <w:rPr>
          <w:rFonts w:ascii="Trebuchet MS" w:hAnsi="Trebuchet MS"/>
          <w:iCs/>
          <w:color w:val="000000"/>
          <w:sz w:val="20"/>
          <w:szCs w:val="23"/>
        </w:rPr>
      </w:pPr>
      <w:r w:rsidRPr="001446EF">
        <w:rPr>
          <w:rFonts w:ascii="Trebuchet MS" w:hAnsi="Trebuchet MS"/>
          <w:iCs/>
          <w:color w:val="000000"/>
          <w:sz w:val="20"/>
          <w:szCs w:val="23"/>
        </w:rPr>
        <w:t>Et en ……… exemplaires pour être remis à chaque associé.</w:t>
      </w:r>
    </w:p>
    <w:p w:rsidR="001446EF" w:rsidRPr="001446EF" w:rsidRDefault="001446EF" w:rsidP="001446EF">
      <w:pPr>
        <w:autoSpaceDE w:val="0"/>
        <w:autoSpaceDN w:val="0"/>
        <w:adjustRightInd w:val="0"/>
        <w:spacing w:before="480"/>
        <w:jc w:val="both"/>
        <w:rPr>
          <w:rFonts w:ascii="Trebuchet MS" w:hAnsi="Trebuchet MS"/>
          <w:b/>
          <w:iCs/>
          <w:color w:val="000000"/>
          <w:sz w:val="20"/>
          <w:szCs w:val="23"/>
        </w:rPr>
      </w:pPr>
      <w:r w:rsidRPr="001446EF">
        <w:rPr>
          <w:rFonts w:ascii="Trebuchet MS" w:hAnsi="Trebuchet MS"/>
          <w:b/>
          <w:iCs/>
          <w:color w:val="000000"/>
          <w:sz w:val="20"/>
          <w:szCs w:val="23"/>
        </w:rPr>
        <w:t>Signatures</w:t>
      </w:r>
    </w:p>
    <w:p w:rsidR="001446EF" w:rsidRDefault="001446EF" w:rsidP="001446EF">
      <w:pPr>
        <w:rPr>
          <w:rFonts w:ascii="Trebuchet MS" w:hAnsi="Trebuchet MS"/>
          <w:b/>
          <w:iCs/>
          <w:color w:val="000000"/>
          <w:sz w:val="20"/>
          <w:szCs w:val="23"/>
        </w:rPr>
      </w:pPr>
    </w:p>
    <w:p w:rsidR="00A745E6" w:rsidRDefault="00A745E6" w:rsidP="001446EF">
      <w:pPr>
        <w:rPr>
          <w:rFonts w:ascii="Trebuchet MS" w:hAnsi="Trebuchet MS"/>
          <w:b/>
          <w:iCs/>
          <w:color w:val="000000"/>
          <w:sz w:val="20"/>
          <w:szCs w:val="23"/>
        </w:rPr>
      </w:pPr>
    </w:p>
    <w:p w:rsidR="00A745E6" w:rsidRDefault="00A745E6" w:rsidP="001446EF">
      <w:pPr>
        <w:rPr>
          <w:rFonts w:ascii="Trebuchet MS" w:hAnsi="Trebuchet MS"/>
          <w:b/>
          <w:iCs/>
          <w:color w:val="000000"/>
          <w:sz w:val="20"/>
          <w:szCs w:val="23"/>
        </w:rPr>
      </w:pPr>
    </w:p>
    <w:p w:rsidR="00A745E6" w:rsidRDefault="00A745E6" w:rsidP="001446EF">
      <w:pPr>
        <w:rPr>
          <w:rFonts w:ascii="Trebuchet MS" w:hAnsi="Trebuchet MS"/>
          <w:b/>
          <w:iCs/>
          <w:color w:val="000000"/>
          <w:sz w:val="20"/>
          <w:szCs w:val="23"/>
        </w:rPr>
      </w:pPr>
      <w:bookmarkStart w:id="7" w:name="_GoBack"/>
      <w:bookmarkEnd w:id="7"/>
    </w:p>
    <w:p w:rsidR="00A745E6" w:rsidRDefault="00A745E6" w:rsidP="001446EF">
      <w:pPr>
        <w:rPr>
          <w:rFonts w:ascii="Trebuchet MS" w:hAnsi="Trebuchet MS"/>
          <w:b/>
          <w:iCs/>
          <w:color w:val="000000"/>
          <w:sz w:val="20"/>
          <w:szCs w:val="23"/>
        </w:rPr>
      </w:pPr>
    </w:p>
    <w:p w:rsidR="00A745E6" w:rsidRDefault="00A745E6" w:rsidP="00A745E6">
      <w:pPr>
        <w:autoSpaceDE w:val="0"/>
        <w:autoSpaceDN w:val="0"/>
        <w:adjustRightInd w:val="0"/>
        <w:jc w:val="both"/>
        <w:rPr>
          <w:rFonts w:ascii="Trebuchet MS" w:hAnsi="Trebuchet MS"/>
          <w:i/>
          <w:iCs/>
          <w:color w:val="000000"/>
          <w:sz w:val="20"/>
          <w:szCs w:val="23"/>
        </w:rPr>
      </w:pPr>
      <w:r>
        <w:rPr>
          <w:rFonts w:ascii="Trebuchet MS" w:hAnsi="Trebuchet MS"/>
          <w:i/>
          <w:iCs/>
          <w:color w:val="000000"/>
          <w:sz w:val="20"/>
          <w:szCs w:val="23"/>
        </w:rPr>
        <w:t xml:space="preserve">Faire précéder la signature de la mention manuscrite "bon pour acceptation des fonctions de gérant" </w:t>
      </w:r>
    </w:p>
    <w:p w:rsidR="00A745E6" w:rsidRDefault="00A745E6" w:rsidP="001446EF">
      <w:pPr>
        <w:rPr>
          <w:rFonts w:ascii="Trebuchet MS" w:hAnsi="Trebuchet MS"/>
          <w:b/>
          <w:iCs/>
          <w:color w:val="000000"/>
          <w:sz w:val="20"/>
          <w:szCs w:val="23"/>
        </w:rPr>
      </w:pPr>
    </w:p>
    <w:p w:rsidR="00A745E6" w:rsidRDefault="00A745E6" w:rsidP="001446EF">
      <w:pPr>
        <w:rPr>
          <w:rFonts w:ascii="Trebuchet MS" w:hAnsi="Trebuchet MS"/>
          <w:b/>
          <w:iCs/>
          <w:color w:val="000000"/>
          <w:sz w:val="20"/>
          <w:szCs w:val="23"/>
        </w:rPr>
      </w:pPr>
    </w:p>
    <w:p w:rsidR="00A745E6" w:rsidRDefault="00A745E6" w:rsidP="001446EF">
      <w:pPr>
        <w:rPr>
          <w:rFonts w:ascii="Trebuchet MS" w:hAnsi="Trebuchet MS"/>
          <w:b/>
          <w:iCs/>
          <w:color w:val="000000"/>
          <w:sz w:val="20"/>
          <w:szCs w:val="23"/>
        </w:rPr>
      </w:pPr>
    </w:p>
    <w:p w:rsidR="00A745E6" w:rsidRPr="001446EF" w:rsidRDefault="00A745E6" w:rsidP="001446EF">
      <w:pPr>
        <w:rPr>
          <w:rFonts w:ascii="Trebuchet MS" w:hAnsi="Trebuchet MS"/>
          <w:b/>
          <w:iCs/>
          <w:color w:val="000000"/>
          <w:sz w:val="20"/>
          <w:szCs w:val="23"/>
        </w:rPr>
        <w:sectPr w:rsidR="00A745E6" w:rsidRPr="001446EF" w:rsidSect="00646E7D">
          <w:headerReference w:type="even" r:id="rId8"/>
          <w:headerReference w:type="default" r:id="rId9"/>
          <w:footerReference w:type="even" r:id="rId10"/>
          <w:footerReference w:type="default" r:id="rId11"/>
          <w:headerReference w:type="first" r:id="rId12"/>
          <w:footerReference w:type="first" r:id="rId13"/>
          <w:pgSz w:w="11907" w:h="16840" w:code="9"/>
          <w:pgMar w:top="1695" w:right="1134" w:bottom="1134" w:left="1134" w:header="567" w:footer="567" w:gutter="0"/>
          <w:cols w:space="720"/>
          <w:noEndnote/>
          <w:docGrid w:linePitch="326"/>
        </w:sectPr>
      </w:pPr>
    </w:p>
    <w:p w:rsidR="001446EF" w:rsidRPr="001446EF" w:rsidRDefault="001446EF" w:rsidP="001446EF">
      <w:pPr>
        <w:rPr>
          <w:rFonts w:ascii="Trebuchet MS" w:hAnsi="Trebuchet MS"/>
          <w:iCs/>
          <w:color w:val="000000"/>
          <w:sz w:val="2"/>
          <w:szCs w:val="23"/>
        </w:rPr>
      </w:pPr>
    </w:p>
    <w:p w:rsidR="001446EF" w:rsidRPr="001446EF" w:rsidRDefault="001446EF" w:rsidP="001446EF">
      <w:pPr>
        <w:keepNext/>
        <w:shd w:val="clear" w:color="auto" w:fill="DFE0E1"/>
        <w:autoSpaceDE w:val="0"/>
        <w:autoSpaceDN w:val="0"/>
        <w:adjustRightInd w:val="0"/>
        <w:spacing w:before="200"/>
        <w:jc w:val="center"/>
        <w:outlineLvl w:val="1"/>
        <w:rPr>
          <w:rFonts w:ascii="Trebuchet MS" w:hAnsi="Trebuchet MS"/>
          <w:b/>
          <w:bCs/>
          <w:iCs/>
          <w:smallCaps/>
          <w:color w:val="C00000"/>
          <w:sz w:val="32"/>
          <w:szCs w:val="28"/>
        </w:rPr>
      </w:pPr>
      <w:bookmarkStart w:id="8" w:name="_Toc375935666"/>
      <w:bookmarkStart w:id="9" w:name="_Toc377389589"/>
      <w:bookmarkStart w:id="10" w:name="_Toc377649795"/>
      <w:bookmarkStart w:id="11" w:name="_Toc398648863"/>
      <w:bookmarkStart w:id="12" w:name="_Toc224535657"/>
      <w:bookmarkStart w:id="13" w:name="_Toc224613420"/>
      <w:bookmarkStart w:id="14" w:name="_Toc225847779"/>
      <w:bookmarkStart w:id="15" w:name="_Toc338776610"/>
      <w:bookmarkStart w:id="16" w:name="Annexe21B"/>
      <w:r w:rsidRPr="001446EF">
        <w:rPr>
          <w:rFonts w:ascii="Trebuchet MS" w:hAnsi="Trebuchet MS"/>
          <w:b/>
          <w:bCs/>
          <w:iCs/>
          <w:smallCaps/>
          <w:color w:val="C00000"/>
          <w:sz w:val="32"/>
          <w:szCs w:val="28"/>
        </w:rPr>
        <w:t xml:space="preserve">société à responsabilité limitée d’expertise comptable </w:t>
      </w:r>
      <w:r w:rsidRPr="001446EF">
        <w:rPr>
          <w:rFonts w:ascii="Trebuchet MS" w:hAnsi="Trebuchet MS"/>
          <w:b/>
          <w:bCs/>
          <w:iCs/>
          <w:smallCaps/>
          <w:color w:val="C00000"/>
          <w:sz w:val="32"/>
          <w:szCs w:val="28"/>
        </w:rPr>
        <w:br/>
        <w:t>et de commissaires aux comptes</w:t>
      </w:r>
      <w:bookmarkEnd w:id="8"/>
      <w:bookmarkEnd w:id="9"/>
      <w:bookmarkEnd w:id="10"/>
      <w:bookmarkEnd w:id="11"/>
    </w:p>
    <w:p w:rsidR="00655208" w:rsidRDefault="001446EF" w:rsidP="00655208">
      <w:pPr>
        <w:autoSpaceDE w:val="0"/>
        <w:autoSpaceDN w:val="0"/>
        <w:adjustRightInd w:val="0"/>
        <w:spacing w:before="600"/>
        <w:jc w:val="center"/>
        <w:rPr>
          <w:rFonts w:ascii="Trebuchet MS" w:hAnsi="Trebuchet MS"/>
          <w:b/>
          <w:bCs/>
          <w:iCs/>
          <w:smallCaps/>
          <w:color w:val="C00000"/>
          <w:sz w:val="20"/>
          <w:szCs w:val="20"/>
        </w:rPr>
      </w:pPr>
      <w:r w:rsidRPr="00655208">
        <w:rPr>
          <w:rFonts w:ascii="Trebuchet MS" w:hAnsi="Trebuchet MS"/>
          <w:b/>
          <w:bCs/>
          <w:iCs/>
          <w:smallCaps/>
          <w:color w:val="C00000"/>
          <w:sz w:val="20"/>
          <w:szCs w:val="20"/>
        </w:rPr>
        <w:t xml:space="preserve">NOTES ACTUALISEES </w:t>
      </w:r>
      <w:r w:rsidR="00725B32">
        <w:rPr>
          <w:rFonts w:ascii="Trebuchet MS" w:hAnsi="Trebuchet MS"/>
          <w:b/>
          <w:bCs/>
          <w:iCs/>
          <w:smallCaps/>
          <w:color w:val="C00000"/>
          <w:sz w:val="20"/>
          <w:szCs w:val="20"/>
        </w:rPr>
        <w:t>NOV</w:t>
      </w:r>
      <w:r w:rsidR="0099145B" w:rsidRPr="0099145B">
        <w:rPr>
          <w:rFonts w:ascii="Trebuchet MS" w:hAnsi="Trebuchet MS"/>
          <w:b/>
          <w:bCs/>
          <w:iCs/>
          <w:smallCaps/>
          <w:color w:val="C00000"/>
          <w:sz w:val="20"/>
          <w:szCs w:val="20"/>
        </w:rPr>
        <w:t xml:space="preserve">EMBRE </w:t>
      </w:r>
      <w:r w:rsidRPr="00655208">
        <w:rPr>
          <w:rFonts w:ascii="Trebuchet MS" w:hAnsi="Trebuchet MS"/>
          <w:b/>
          <w:bCs/>
          <w:iCs/>
          <w:smallCaps/>
          <w:color w:val="C00000"/>
          <w:sz w:val="20"/>
          <w:szCs w:val="20"/>
        </w:rPr>
        <w:t>2014</w:t>
      </w:r>
      <w:bookmarkEnd w:id="12"/>
      <w:bookmarkEnd w:id="13"/>
      <w:bookmarkEnd w:id="14"/>
      <w:bookmarkEnd w:id="15"/>
      <w:bookmarkEnd w:id="16"/>
    </w:p>
    <w:p w:rsidR="00EA5B44" w:rsidRPr="00655208" w:rsidRDefault="00EA5B44" w:rsidP="00655208">
      <w:pPr>
        <w:autoSpaceDE w:val="0"/>
        <w:autoSpaceDN w:val="0"/>
        <w:adjustRightInd w:val="0"/>
        <w:spacing w:before="600"/>
        <w:jc w:val="center"/>
        <w:rPr>
          <w:rFonts w:ascii="Trebuchet MS" w:hAnsi="Trebuchet MS"/>
          <w:b/>
          <w:bCs/>
          <w:iCs/>
          <w:smallCaps/>
          <w:color w:val="C00000"/>
          <w:sz w:val="20"/>
          <w:szCs w:val="20"/>
        </w:rPr>
      </w:pPr>
    </w:p>
    <w:p w:rsidR="005D196B" w:rsidRPr="007E0DFD" w:rsidRDefault="005D196B" w:rsidP="005D196B">
      <w:pPr>
        <w:jc w:val="both"/>
        <w:rPr>
          <w:rFonts w:ascii="Trebuchet MS" w:hAnsi="Trebuchet MS"/>
          <w:sz w:val="20"/>
          <w:szCs w:val="20"/>
        </w:rPr>
      </w:pPr>
      <w:r w:rsidRPr="00C94D1A">
        <w:rPr>
          <w:rFonts w:ascii="Trebuchet MS" w:hAnsi="Trebuchet MS"/>
          <w:bCs/>
          <w:sz w:val="20"/>
          <w:szCs w:val="20"/>
        </w:rPr>
        <w:t xml:space="preserve">Depuis le </w:t>
      </w:r>
      <w:r w:rsidR="00C94D1A" w:rsidRPr="00C94D1A">
        <w:rPr>
          <w:rFonts w:ascii="Trebuchet MS" w:hAnsi="Trebuchet MS"/>
          <w:bCs/>
          <w:sz w:val="20"/>
          <w:szCs w:val="20"/>
        </w:rPr>
        <w:t>3</w:t>
      </w:r>
      <w:r w:rsidRPr="00C94D1A">
        <w:rPr>
          <w:rFonts w:ascii="Trebuchet MS" w:hAnsi="Trebuchet MS"/>
          <w:bCs/>
          <w:sz w:val="20"/>
          <w:szCs w:val="20"/>
        </w:rPr>
        <w:t xml:space="preserve"> mai 2014</w:t>
      </w:r>
      <w:r w:rsidRPr="00C94D1A">
        <w:rPr>
          <w:rFonts w:ascii="Trebuchet MS" w:hAnsi="Trebuchet MS"/>
          <w:sz w:val="20"/>
          <w:szCs w:val="20"/>
        </w:rPr>
        <w:t xml:space="preserve"> , date</w:t>
      </w:r>
      <w:r w:rsidR="007E7BFB">
        <w:rPr>
          <w:rFonts w:ascii="Trebuchet MS" w:hAnsi="Trebuchet MS"/>
          <w:sz w:val="20"/>
          <w:szCs w:val="20"/>
        </w:rPr>
        <w:t xml:space="preserve"> d’entrée en vigueur</w:t>
      </w:r>
      <w:r w:rsidRPr="007E0DFD">
        <w:rPr>
          <w:rFonts w:ascii="Trebuchet MS" w:hAnsi="Trebuchet MS"/>
          <w:sz w:val="20"/>
          <w:szCs w:val="20"/>
        </w:rPr>
        <w:t xml:space="preserve"> de l’ordonnance n° 2014-443 du 30 avril 2014, les personnes physiques ressortissantes d’un des Etats membres de l’Union européenne ou d’autres Etats parties à l’accord sur l’espace économique européen, ainsi que les personnes morales constituées en conformité avec la législation de l’un de ces Etats et ayant leur siège statutaire, leur administration centrale ou leur principal établissement dans l’un de ces Etats, qui y exercent légalement la profession d’expertise comptable sont admises à constituer des sociétés d’expertise comptable et des sociétés de participations d’expertise comptable à travers des sociétés dotées de la personnalité morale, à l’exception des formes juridiques qui confèrent à leurs associés la qualité de commerçant.</w:t>
      </w:r>
    </w:p>
    <w:p w:rsidR="001446EF" w:rsidRPr="001446EF" w:rsidRDefault="001446EF" w:rsidP="001446EF">
      <w:pPr>
        <w:autoSpaceDE w:val="0"/>
        <w:autoSpaceDN w:val="0"/>
        <w:adjustRightInd w:val="0"/>
        <w:spacing w:before="600"/>
        <w:jc w:val="both"/>
        <w:rPr>
          <w:rFonts w:ascii="Trebuchet MS" w:hAnsi="Trebuchet MS"/>
          <w:bCs/>
          <w:iCs/>
          <w:spacing w:val="-2"/>
          <w:sz w:val="20"/>
          <w:szCs w:val="23"/>
        </w:rPr>
      </w:pPr>
      <w:r w:rsidRPr="001446EF">
        <w:rPr>
          <w:rFonts w:ascii="Trebuchet MS" w:hAnsi="Trebuchet MS"/>
          <w:bCs/>
          <w:iCs/>
          <w:spacing w:val="-2"/>
          <w:sz w:val="20"/>
          <w:szCs w:val="23"/>
        </w:rPr>
        <w:t xml:space="preserve">Le modèle de statuts rédigé par le Conseil supérieur de l’Ordre des experts-comptables et la Compagnie nationale des commissaires aux comptes se réfère aux dispositions des articles L. 223-1 et suivants </w:t>
      </w:r>
      <w:r w:rsidRPr="001446EF">
        <w:rPr>
          <w:rFonts w:ascii="Trebuchet MS" w:hAnsi="Trebuchet MS"/>
          <w:bCs/>
          <w:iCs/>
          <w:spacing w:val="-2"/>
          <w:sz w:val="20"/>
          <w:szCs w:val="23"/>
        </w:rPr>
        <w:br/>
        <w:t xml:space="preserve">et L. 820-1 et suivants du Code de commerce et à l’Ordonnance du 19 septembre 1945 réglementant </w:t>
      </w:r>
      <w:r w:rsidRPr="001446EF">
        <w:rPr>
          <w:rFonts w:ascii="Trebuchet MS" w:hAnsi="Trebuchet MS"/>
          <w:bCs/>
          <w:iCs/>
          <w:spacing w:val="-2"/>
          <w:sz w:val="20"/>
          <w:szCs w:val="23"/>
        </w:rPr>
        <w:br/>
        <w:t>la profession, modifiée par l’Ordonnance n°2014-443 du 30 avril 2014, ainsi qu’à des décisions du Conseil supérieur. Les notes présentées ci-après sous certains articles rappellent les principales dispositions applicables et doivent être lues avec attention.</w:t>
      </w:r>
    </w:p>
    <w:p w:rsidR="001446EF" w:rsidRPr="001446EF" w:rsidRDefault="001446EF" w:rsidP="001446EF">
      <w:pPr>
        <w:autoSpaceDE w:val="0"/>
        <w:autoSpaceDN w:val="0"/>
        <w:adjustRightInd w:val="0"/>
        <w:spacing w:before="120"/>
        <w:jc w:val="both"/>
        <w:rPr>
          <w:rFonts w:ascii="Trebuchet MS" w:hAnsi="Trebuchet MS"/>
          <w:bCs/>
          <w:iCs/>
          <w:spacing w:val="-6"/>
          <w:sz w:val="20"/>
          <w:szCs w:val="23"/>
        </w:rPr>
      </w:pPr>
      <w:r w:rsidRPr="001446EF">
        <w:rPr>
          <w:rFonts w:ascii="Trebuchet MS" w:hAnsi="Trebuchet MS"/>
          <w:bCs/>
          <w:iCs/>
          <w:spacing w:val="-4"/>
          <w:sz w:val="20"/>
          <w:szCs w:val="23"/>
        </w:rPr>
        <w:t xml:space="preserve">Ce modèle de statuts correspond à une société pluripersonnelle. Il laisse certaines mentions à l’appréciation des fondateurs de la société. Il est proposé à titre indicatif. Il convient donc de l’adapter précisément </w:t>
      </w:r>
      <w:r w:rsidRPr="001446EF">
        <w:rPr>
          <w:rFonts w:ascii="Trebuchet MS" w:hAnsi="Trebuchet MS"/>
          <w:bCs/>
          <w:iCs/>
          <w:spacing w:val="-4"/>
          <w:sz w:val="20"/>
          <w:szCs w:val="23"/>
        </w:rPr>
        <w:br/>
      </w:r>
      <w:r w:rsidRPr="001446EF">
        <w:rPr>
          <w:rFonts w:ascii="Trebuchet MS" w:hAnsi="Trebuchet MS"/>
          <w:bCs/>
          <w:iCs/>
          <w:spacing w:val="-6"/>
          <w:sz w:val="20"/>
          <w:szCs w:val="23"/>
        </w:rPr>
        <w:t>à chacune des situations, de veiller strictement à remplir tous les « blancs » et à supprimer les mentions inutiles.</w:t>
      </w:r>
    </w:p>
    <w:p w:rsidR="001446EF" w:rsidRPr="001446EF" w:rsidRDefault="001446EF" w:rsidP="001446EF">
      <w:pPr>
        <w:autoSpaceDE w:val="0"/>
        <w:autoSpaceDN w:val="0"/>
        <w:adjustRightInd w:val="0"/>
        <w:spacing w:before="48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Préambule</w:t>
      </w:r>
    </w:p>
    <w:p w:rsidR="001446EF" w:rsidRPr="001446EF" w:rsidRDefault="001446EF" w:rsidP="001446EF">
      <w:pPr>
        <w:numPr>
          <w:ilvl w:val="0"/>
          <w:numId w:val="64"/>
        </w:numPr>
        <w:autoSpaceDE w:val="0"/>
        <w:autoSpaceDN w:val="0"/>
        <w:adjustRightInd w:val="0"/>
        <w:spacing w:before="120"/>
        <w:ind w:left="284" w:hanging="284"/>
        <w:jc w:val="both"/>
        <w:rPr>
          <w:rFonts w:ascii="Trebuchet MS" w:hAnsi="Trebuchet MS"/>
          <w:iCs/>
          <w:color w:val="000000"/>
          <w:spacing w:val="-4"/>
          <w:sz w:val="20"/>
          <w:szCs w:val="23"/>
        </w:rPr>
      </w:pPr>
      <w:r w:rsidRPr="001446EF">
        <w:rPr>
          <w:rFonts w:ascii="Trebuchet MS" w:hAnsi="Trebuchet MS"/>
          <w:iCs/>
          <w:color w:val="000000"/>
          <w:spacing w:val="-4"/>
          <w:sz w:val="20"/>
          <w:szCs w:val="23"/>
        </w:rPr>
        <w:t xml:space="preserve">En cas de contestation entre les associés, les gérants, les liquidateurs et la société ou entre les associés eux-mêmes au sujet des affaires sociales ou relativement à la validité, à l’interprétation ou à l’exécution des clauses statutaires, les intéressés s’efforceront, avant tout recours contentieux devant les juridictions étatiques ou arbitrales, de faire accepter la conciliation ou la médiation, selon leur choix, du président </w:t>
      </w:r>
      <w:r w:rsidRPr="001446EF">
        <w:rPr>
          <w:rFonts w:ascii="Trebuchet MS" w:hAnsi="Trebuchet MS"/>
          <w:iCs/>
          <w:color w:val="000000"/>
          <w:spacing w:val="-4"/>
          <w:sz w:val="20"/>
          <w:szCs w:val="23"/>
        </w:rPr>
        <w:br/>
        <w:t>du Conseil régional de l’Ordre des experts-comptables ou du président de la Compagnie régionale des commissaires aux comptes.</w:t>
      </w:r>
    </w:p>
    <w:p w:rsidR="001446EF" w:rsidRPr="00C94D1A" w:rsidRDefault="001446EF" w:rsidP="001446EF">
      <w:pPr>
        <w:numPr>
          <w:ilvl w:val="0"/>
          <w:numId w:val="64"/>
        </w:numPr>
        <w:autoSpaceDE w:val="0"/>
        <w:autoSpaceDN w:val="0"/>
        <w:adjustRightInd w:val="0"/>
        <w:spacing w:before="120"/>
        <w:ind w:left="284" w:hanging="284"/>
        <w:jc w:val="both"/>
        <w:rPr>
          <w:rFonts w:ascii="Trebuchet MS" w:hAnsi="Trebuchet MS"/>
          <w:iCs/>
          <w:spacing w:val="-4"/>
          <w:sz w:val="20"/>
          <w:szCs w:val="23"/>
        </w:rPr>
      </w:pPr>
      <w:r w:rsidRPr="00C94D1A">
        <w:rPr>
          <w:rFonts w:ascii="Trebuchet MS" w:hAnsi="Trebuchet MS"/>
          <w:iCs/>
          <w:sz w:val="20"/>
          <w:szCs w:val="23"/>
        </w:rPr>
        <w:t xml:space="preserve">Les lois n°2010-853 du 23 juillet 2010 et n°2011-331 du 28 mars 2011 ont profondément modifié </w:t>
      </w:r>
      <w:r w:rsidRPr="00C94D1A">
        <w:rPr>
          <w:rFonts w:ascii="Trebuchet MS" w:hAnsi="Trebuchet MS"/>
          <w:iCs/>
          <w:sz w:val="20"/>
          <w:szCs w:val="23"/>
        </w:rPr>
        <w:br/>
      </w:r>
      <w:r w:rsidRPr="00C94D1A">
        <w:rPr>
          <w:rFonts w:ascii="Trebuchet MS" w:hAnsi="Trebuchet MS"/>
          <w:iCs/>
          <w:spacing w:val="-4"/>
          <w:sz w:val="20"/>
          <w:szCs w:val="23"/>
        </w:rPr>
        <w:t xml:space="preserve">les dispositions de l’Ordonnance du 19 septembre 1945 relatives aux sociétés d’expertise comptable. </w:t>
      </w:r>
      <w:r w:rsidRPr="00C94D1A">
        <w:rPr>
          <w:rFonts w:ascii="Trebuchet MS" w:hAnsi="Trebuchet MS"/>
          <w:iCs/>
          <w:spacing w:val="-4"/>
          <w:sz w:val="20"/>
          <w:szCs w:val="23"/>
        </w:rPr>
        <w:br/>
        <w:t>De même, l’Ordonnance n°2014-443 du 30 avril 2014 apporte des modifications substantielles à certaines dispositions de l’Ordonnance n°45-2138 du 19 septembre 1945. Le modèle de statuts proposé par le Conseil supérieur de l’Ordre des experts-comptables tient compte de ces modifications.</w:t>
      </w:r>
    </w:p>
    <w:p w:rsidR="001446EF" w:rsidRPr="001446EF" w:rsidRDefault="001446EF" w:rsidP="001446EF">
      <w:pPr>
        <w:numPr>
          <w:ilvl w:val="0"/>
          <w:numId w:val="64"/>
        </w:numPr>
        <w:autoSpaceDE w:val="0"/>
        <w:autoSpaceDN w:val="0"/>
        <w:adjustRightInd w:val="0"/>
        <w:spacing w:before="120"/>
        <w:ind w:left="284" w:hanging="284"/>
        <w:jc w:val="both"/>
        <w:rPr>
          <w:rFonts w:ascii="Trebuchet MS" w:hAnsi="Trebuchet MS"/>
          <w:iCs/>
          <w:color w:val="000000"/>
          <w:sz w:val="20"/>
          <w:szCs w:val="23"/>
        </w:rPr>
      </w:pPr>
      <w:r w:rsidRPr="001446EF">
        <w:rPr>
          <w:rFonts w:ascii="Trebuchet MS" w:hAnsi="Trebuchet MS"/>
          <w:iCs/>
          <w:color w:val="000000"/>
          <w:sz w:val="20"/>
          <w:szCs w:val="23"/>
        </w:rPr>
        <w:t>Le droit de vote et l’éligibilité dans les Conseils régionaux des commissaires aux comptes sont réservés aux seules personnes physiques (C. com., art. R. 821-59).</w:t>
      </w:r>
    </w:p>
    <w:p w:rsidR="001446EF" w:rsidRPr="001446EF" w:rsidRDefault="001446EF" w:rsidP="001446EF">
      <w:pPr>
        <w:numPr>
          <w:ilvl w:val="0"/>
          <w:numId w:val="64"/>
        </w:numPr>
        <w:autoSpaceDE w:val="0"/>
        <w:autoSpaceDN w:val="0"/>
        <w:adjustRightInd w:val="0"/>
        <w:spacing w:before="120"/>
        <w:ind w:left="284" w:hanging="284"/>
        <w:jc w:val="both"/>
        <w:rPr>
          <w:rFonts w:ascii="Trebuchet MS" w:hAnsi="Trebuchet MS"/>
          <w:iCs/>
          <w:color w:val="000000"/>
          <w:sz w:val="20"/>
          <w:szCs w:val="23"/>
        </w:rPr>
      </w:pPr>
      <w:r w:rsidRPr="001446EF">
        <w:rPr>
          <w:rFonts w:ascii="Trebuchet MS" w:hAnsi="Trebuchet MS"/>
          <w:iCs/>
          <w:color w:val="000000"/>
          <w:sz w:val="20"/>
          <w:szCs w:val="23"/>
        </w:rPr>
        <w:t>« </w:t>
      </w:r>
      <w:r w:rsidRPr="001446EF">
        <w:rPr>
          <w:rFonts w:ascii="Trebuchet MS" w:hAnsi="Trebuchet MS"/>
          <w:i/>
          <w:iCs/>
          <w:color w:val="000000"/>
          <w:sz w:val="20"/>
          <w:szCs w:val="23"/>
        </w:rPr>
        <w:t xml:space="preserve">Dans les sociétés de commissaires aux comptes inscrites, les fonctions de commissaire aux comptes sont exercées, au nom de la société, par des commissaires aux comptes personnes physiques associés, actionnaires ou dirigeants de cette société. Ces personnes ne peuvent exercer les fonctions </w:t>
      </w:r>
      <w:r w:rsidRPr="001446EF">
        <w:rPr>
          <w:rFonts w:ascii="Trebuchet MS" w:hAnsi="Trebuchet MS"/>
          <w:i/>
          <w:iCs/>
          <w:color w:val="000000"/>
          <w:sz w:val="20"/>
          <w:szCs w:val="23"/>
        </w:rPr>
        <w:br/>
        <w:t>de commissaire aux comptes qu’au sein d’une seule société de commissaires aux comptes.</w:t>
      </w:r>
      <w:r w:rsidRPr="001446EF">
        <w:rPr>
          <w:rFonts w:ascii="Trebuchet MS" w:hAnsi="Trebuchet MS"/>
          <w:iCs/>
          <w:color w:val="000000"/>
          <w:sz w:val="20"/>
          <w:szCs w:val="23"/>
        </w:rPr>
        <w:t> » (C. com., art. L. 822-9, al. 3)</w:t>
      </w:r>
    </w:p>
    <w:p w:rsidR="001446EF" w:rsidRPr="001446EF" w:rsidRDefault="001446EF" w:rsidP="001446EF">
      <w:pPr>
        <w:autoSpaceDE w:val="0"/>
        <w:autoSpaceDN w:val="0"/>
        <w:adjustRightInd w:val="0"/>
        <w:spacing w:before="120"/>
        <w:ind w:left="284"/>
        <w:jc w:val="both"/>
        <w:rPr>
          <w:rFonts w:ascii="Trebuchet MS" w:hAnsi="Trebuchet MS"/>
          <w:iCs/>
          <w:color w:val="000000"/>
          <w:sz w:val="20"/>
          <w:szCs w:val="23"/>
        </w:rPr>
      </w:pPr>
      <w:r w:rsidRPr="001446EF">
        <w:rPr>
          <w:rFonts w:ascii="Trebuchet MS" w:hAnsi="Trebuchet MS"/>
          <w:iCs/>
          <w:color w:val="000000"/>
          <w:sz w:val="20"/>
          <w:szCs w:val="23"/>
        </w:rPr>
        <w:t>« </w:t>
      </w:r>
      <w:r w:rsidRPr="001446EF">
        <w:rPr>
          <w:rFonts w:ascii="Trebuchet MS" w:hAnsi="Trebuchet MS"/>
          <w:i/>
          <w:iCs/>
          <w:color w:val="000000"/>
          <w:sz w:val="20"/>
          <w:szCs w:val="23"/>
        </w:rPr>
        <w:t xml:space="preserve">Par dérogation à l’obligation de n’exercer les fonctions de commissaire aux comptes qu’au sein d’une seule société, l’exercice de ces fonctions est possible simultanément au sein d’une société </w:t>
      </w:r>
      <w:r w:rsidRPr="001446EF">
        <w:rPr>
          <w:rFonts w:ascii="Trebuchet MS" w:hAnsi="Trebuchet MS"/>
          <w:i/>
          <w:iCs/>
          <w:color w:val="000000"/>
          <w:sz w:val="20"/>
          <w:szCs w:val="23"/>
        </w:rPr>
        <w:br/>
        <w:t>de commissaires aux comptes et d’une autre société de commissaires aux comptes dont la première détient plus de la moitié du capital social ou dans le cas où les associés des deux entités sont communs pour au moins la moitié d’entre eux. »</w:t>
      </w:r>
      <w:r w:rsidRPr="001446EF">
        <w:rPr>
          <w:rFonts w:ascii="Trebuchet MS" w:hAnsi="Trebuchet MS"/>
          <w:iCs/>
          <w:color w:val="000000"/>
          <w:sz w:val="20"/>
          <w:szCs w:val="23"/>
        </w:rPr>
        <w:t xml:space="preserve"> (C. com., art. L. 822-9, dernier alinéa)</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1 - Forme</w:t>
      </w:r>
    </w:p>
    <w:p w:rsidR="00655208" w:rsidRPr="00655208" w:rsidRDefault="00655208" w:rsidP="00655208">
      <w:pPr>
        <w:pStyle w:val="enum"/>
        <w:numPr>
          <w:ilvl w:val="0"/>
          <w:numId w:val="0"/>
        </w:numPr>
        <w:autoSpaceDN w:val="0"/>
      </w:pPr>
      <w:r w:rsidRPr="00655208">
        <w:t xml:space="preserve">Les personnes physiques ressortissantes d’un des Etats membres de l’Union européenne ou d’autres Etats parties à l’accord sur l’Espace économique européen, ainsi que les personnes morales constituées en conformité avec la législation de l’un de ces Etats et ayant leur siège statutaire, leur administration centrale ou leur principal établissement dans l’un de ces Etats, qui y exercent légalement la profession d’expertise comptable sont admises à constituer, pour l’exercice de leur profession, des sociétés dotées de la personnalité morale, à l’exception des formes juridiques qui confèrent à leurs associés la qualité de commerçant. </w:t>
      </w:r>
    </w:p>
    <w:p w:rsidR="001446EF" w:rsidRPr="001446EF" w:rsidRDefault="00655208" w:rsidP="00655208">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 xml:space="preserve"> </w:t>
      </w:r>
      <w:r w:rsidR="001446EF" w:rsidRPr="001446EF">
        <w:rPr>
          <w:rFonts w:ascii="Trebuchet MS" w:hAnsi="Trebuchet MS"/>
          <w:iCs/>
          <w:color w:val="000000"/>
          <w:spacing w:val="-4"/>
          <w:sz w:val="20"/>
          <w:szCs w:val="23"/>
        </w:rPr>
        <w:t>(Ord., art. 7, I).</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Les commissaires aux comptes peuvent constituer des sociétés de quelque forme que ce soit (C. com., art. L. 822-9, al. 1</w:t>
      </w:r>
      <w:r w:rsidRPr="001446EF">
        <w:rPr>
          <w:rFonts w:ascii="Trebuchet MS" w:hAnsi="Trebuchet MS"/>
          <w:iCs/>
          <w:color w:val="000000"/>
          <w:sz w:val="20"/>
          <w:szCs w:val="23"/>
          <w:vertAlign w:val="superscript"/>
        </w:rPr>
        <w:t>er</w:t>
      </w:r>
      <w:r w:rsidRPr="001446EF">
        <w:rPr>
          <w:rFonts w:ascii="Trebuchet MS" w:hAnsi="Trebuchet MS"/>
          <w:iCs/>
          <w:color w:val="000000"/>
          <w:sz w:val="20"/>
          <w:szCs w:val="23"/>
        </w:rPr>
        <w:t>).</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2 – Dénomination sociale</w:t>
      </w:r>
    </w:p>
    <w:p w:rsidR="001446EF" w:rsidRPr="00C94D1A" w:rsidRDefault="001446EF" w:rsidP="001446EF">
      <w:pPr>
        <w:numPr>
          <w:ilvl w:val="0"/>
          <w:numId w:val="65"/>
        </w:numPr>
        <w:autoSpaceDE w:val="0"/>
        <w:autoSpaceDN w:val="0"/>
        <w:adjustRightInd w:val="0"/>
        <w:spacing w:before="120"/>
        <w:ind w:left="284" w:hanging="284"/>
        <w:jc w:val="both"/>
        <w:rPr>
          <w:rFonts w:ascii="Trebuchet MS" w:hAnsi="Trebuchet MS"/>
          <w:iCs/>
          <w:sz w:val="20"/>
          <w:szCs w:val="23"/>
        </w:rPr>
      </w:pPr>
      <w:r w:rsidRPr="00C94D1A">
        <w:rPr>
          <w:rFonts w:ascii="Trebuchet MS" w:hAnsi="Trebuchet MS"/>
          <w:iCs/>
          <w:sz w:val="20"/>
          <w:szCs w:val="23"/>
        </w:rPr>
        <w:t>Les sociétés constituées par les personnes physiques mentionnées à l’article 7, I, de l’Ordonnance du 19 septembre 1945, modifiée par l’ordonnance du 30 avril 2014 sont seules habilitées à utiliser l’appellation de « sociétés d’expertise comptable » et sont inscrites au tableau de l’ordre.</w:t>
      </w:r>
    </w:p>
    <w:p w:rsidR="001446EF" w:rsidRPr="00F16965" w:rsidRDefault="001446EF" w:rsidP="00F16965">
      <w:pPr>
        <w:numPr>
          <w:ilvl w:val="0"/>
          <w:numId w:val="65"/>
        </w:numPr>
        <w:autoSpaceDE w:val="0"/>
        <w:autoSpaceDN w:val="0"/>
        <w:adjustRightInd w:val="0"/>
        <w:spacing w:before="120"/>
        <w:ind w:left="284" w:hanging="284"/>
        <w:jc w:val="both"/>
        <w:rPr>
          <w:rFonts w:ascii="Trebuchet MS" w:hAnsi="Trebuchet MS"/>
          <w:iCs/>
          <w:color w:val="000000"/>
          <w:sz w:val="20"/>
          <w:szCs w:val="23"/>
        </w:rPr>
      </w:pPr>
      <w:r w:rsidRPr="001446EF">
        <w:rPr>
          <w:rFonts w:ascii="Trebuchet MS" w:hAnsi="Trebuchet MS"/>
          <w:iCs/>
          <w:color w:val="000000"/>
          <w:sz w:val="20"/>
          <w:szCs w:val="23"/>
        </w:rPr>
        <w:t xml:space="preserve">La dénomination envisagée ne doit pas être déjà utilisée par une autre société inscrite au Tableau </w:t>
      </w:r>
      <w:r w:rsidRPr="001446EF">
        <w:rPr>
          <w:rFonts w:ascii="Trebuchet MS" w:hAnsi="Trebuchet MS"/>
          <w:iCs/>
          <w:color w:val="000000"/>
          <w:sz w:val="20"/>
          <w:szCs w:val="23"/>
        </w:rPr>
        <w:br/>
        <w:t>de la région ou à celui d’une autre région.</w:t>
      </w:r>
      <w:r w:rsidRPr="00F16965">
        <w:rPr>
          <w:rFonts w:ascii="Trebuchet MS" w:hAnsi="Trebuchet MS"/>
          <w:iCs/>
          <w:color w:val="000000"/>
          <w:sz w:val="20"/>
          <w:szCs w:val="23"/>
        </w:rPr>
        <w:t>Lorsqu’une société adopte le nom d’une personne physique, celui-ci doit être celui d’un des associés membres de l’Ordre des experts-comptables ou de la Compagnie des commissaires aux comptes exerçant effectivement son activité dans la société.</w:t>
      </w:r>
    </w:p>
    <w:p w:rsidR="001446EF" w:rsidRPr="001446EF" w:rsidRDefault="001446EF" w:rsidP="001446EF">
      <w:pPr>
        <w:autoSpaceDE w:val="0"/>
        <w:autoSpaceDN w:val="0"/>
        <w:adjustRightInd w:val="0"/>
        <w:spacing w:before="120"/>
        <w:ind w:left="284"/>
        <w:jc w:val="both"/>
        <w:rPr>
          <w:rFonts w:ascii="Trebuchet MS" w:hAnsi="Trebuchet MS"/>
          <w:iCs/>
          <w:color w:val="000000"/>
          <w:spacing w:val="-2"/>
          <w:sz w:val="20"/>
          <w:szCs w:val="23"/>
        </w:rPr>
      </w:pPr>
      <w:r w:rsidRPr="001446EF">
        <w:rPr>
          <w:rFonts w:ascii="Trebuchet MS" w:hAnsi="Trebuchet MS"/>
          <w:iCs/>
          <w:color w:val="000000"/>
          <w:spacing w:val="-2"/>
          <w:sz w:val="20"/>
          <w:szCs w:val="23"/>
        </w:rPr>
        <w:t xml:space="preserve">Lorsque ledit associé cesse son activité et cède ses droits, la société n’est pas tenue de modifier </w:t>
      </w:r>
      <w:r w:rsidRPr="001446EF">
        <w:rPr>
          <w:rFonts w:ascii="Trebuchet MS" w:hAnsi="Trebuchet MS"/>
          <w:iCs/>
          <w:color w:val="000000"/>
          <w:spacing w:val="-2"/>
          <w:sz w:val="20"/>
          <w:szCs w:val="23"/>
        </w:rPr>
        <w:br/>
        <w:t>sa dénomination sociale. La même solution est applicable en cas de transfert d’un cabinet en nom personnel à une société.</w:t>
      </w:r>
    </w:p>
    <w:p w:rsidR="001446EF" w:rsidRPr="001446EF" w:rsidRDefault="001446EF" w:rsidP="001446EF">
      <w:pPr>
        <w:autoSpaceDE w:val="0"/>
        <w:autoSpaceDN w:val="0"/>
        <w:adjustRightInd w:val="0"/>
        <w:spacing w:before="120"/>
        <w:ind w:left="284"/>
        <w:jc w:val="both"/>
        <w:rPr>
          <w:rFonts w:ascii="Trebuchet MS" w:hAnsi="Trebuchet MS"/>
          <w:iCs/>
          <w:color w:val="000000"/>
          <w:sz w:val="20"/>
          <w:szCs w:val="23"/>
        </w:rPr>
      </w:pPr>
      <w:r w:rsidRPr="001446EF">
        <w:rPr>
          <w:rFonts w:ascii="Trebuchet MS" w:hAnsi="Trebuchet MS"/>
          <w:iCs/>
          <w:color w:val="000000"/>
          <w:sz w:val="20"/>
          <w:szCs w:val="23"/>
        </w:rPr>
        <w:t>Dans tous les cas, la dénomination retenue :</w:t>
      </w:r>
    </w:p>
    <w:p w:rsidR="001446EF" w:rsidRPr="001446EF" w:rsidRDefault="001446EF" w:rsidP="001446EF">
      <w:pPr>
        <w:numPr>
          <w:ilvl w:val="0"/>
          <w:numId w:val="66"/>
        </w:numPr>
        <w:autoSpaceDE w:val="0"/>
        <w:autoSpaceDN w:val="0"/>
        <w:adjustRightInd w:val="0"/>
        <w:spacing w:before="120"/>
        <w:ind w:left="567" w:hanging="283"/>
        <w:jc w:val="both"/>
        <w:rPr>
          <w:rFonts w:ascii="Trebuchet MS" w:hAnsi="Trebuchet MS"/>
          <w:iCs/>
          <w:color w:val="000000"/>
          <w:spacing w:val="-4"/>
          <w:sz w:val="20"/>
          <w:szCs w:val="23"/>
        </w:rPr>
      </w:pPr>
      <w:r w:rsidRPr="001446EF">
        <w:rPr>
          <w:rFonts w:ascii="Trebuchet MS" w:hAnsi="Trebuchet MS"/>
          <w:iCs/>
          <w:color w:val="000000"/>
          <w:spacing w:val="-4"/>
          <w:sz w:val="20"/>
          <w:szCs w:val="23"/>
        </w:rPr>
        <w:t>ne doit prêter à aucune confusion avec celle d’une autre société ayant pour objet l’exercice d’une autre profession ;</w:t>
      </w:r>
    </w:p>
    <w:p w:rsidR="001446EF" w:rsidRPr="001446EF" w:rsidRDefault="001446EF" w:rsidP="001446EF">
      <w:pPr>
        <w:numPr>
          <w:ilvl w:val="0"/>
          <w:numId w:val="66"/>
        </w:numPr>
        <w:autoSpaceDE w:val="0"/>
        <w:autoSpaceDN w:val="0"/>
        <w:adjustRightInd w:val="0"/>
        <w:spacing w:before="120"/>
        <w:ind w:left="567" w:hanging="283"/>
        <w:jc w:val="both"/>
        <w:rPr>
          <w:rFonts w:ascii="Trebuchet MS" w:hAnsi="Trebuchet MS"/>
          <w:iCs/>
          <w:color w:val="000000"/>
          <w:sz w:val="20"/>
          <w:szCs w:val="23"/>
        </w:rPr>
      </w:pPr>
      <w:r w:rsidRPr="001446EF">
        <w:rPr>
          <w:rFonts w:ascii="Trebuchet MS" w:hAnsi="Trebuchet MS"/>
          <w:iCs/>
          <w:color w:val="000000"/>
          <w:sz w:val="20"/>
          <w:szCs w:val="23"/>
        </w:rPr>
        <w:t>ne doit pas faire référence à une entreprise commerciale ou à un secteur économique déterminé ;</w:t>
      </w:r>
    </w:p>
    <w:p w:rsidR="001446EF" w:rsidRPr="001446EF" w:rsidRDefault="001446EF" w:rsidP="001446EF">
      <w:pPr>
        <w:numPr>
          <w:ilvl w:val="0"/>
          <w:numId w:val="66"/>
        </w:numPr>
        <w:autoSpaceDE w:val="0"/>
        <w:autoSpaceDN w:val="0"/>
        <w:adjustRightInd w:val="0"/>
        <w:spacing w:before="120"/>
        <w:ind w:left="567" w:hanging="283"/>
        <w:jc w:val="both"/>
        <w:rPr>
          <w:rFonts w:ascii="Trebuchet MS" w:hAnsi="Trebuchet MS"/>
          <w:iCs/>
          <w:color w:val="000000"/>
          <w:sz w:val="20"/>
          <w:szCs w:val="23"/>
        </w:rPr>
      </w:pPr>
      <w:r w:rsidRPr="001446EF">
        <w:rPr>
          <w:rFonts w:ascii="Trebuchet MS" w:hAnsi="Trebuchet MS"/>
          <w:iCs/>
          <w:color w:val="000000"/>
          <w:sz w:val="20"/>
          <w:szCs w:val="23"/>
        </w:rPr>
        <w:t>ne doit pas porter atteinte à l’image de la profession.</w:t>
      </w:r>
    </w:p>
    <w:p w:rsidR="001446EF" w:rsidRPr="001446EF" w:rsidRDefault="001446EF" w:rsidP="001446EF">
      <w:pPr>
        <w:autoSpaceDE w:val="0"/>
        <w:autoSpaceDN w:val="0"/>
        <w:adjustRightInd w:val="0"/>
        <w:spacing w:before="120"/>
        <w:ind w:left="284"/>
        <w:jc w:val="both"/>
        <w:rPr>
          <w:rFonts w:ascii="Trebuchet MS" w:hAnsi="Trebuchet MS"/>
          <w:iCs/>
          <w:color w:val="000000"/>
          <w:sz w:val="20"/>
          <w:szCs w:val="23"/>
        </w:rPr>
      </w:pPr>
      <w:r w:rsidRPr="001446EF">
        <w:rPr>
          <w:rFonts w:ascii="Trebuchet MS" w:hAnsi="Trebuchet MS"/>
          <w:iCs/>
          <w:color w:val="000000"/>
          <w:sz w:val="20"/>
          <w:szCs w:val="23"/>
        </w:rPr>
        <w:t>S’il apparaît à un Conseil régional de l’Ordre des experts-comptables que la dénomination choisie est susceptible d’induire les tiers en erreur sur les travaux pouvant être réellement effectués, ce Conseil en demandera la modification.</w:t>
      </w:r>
    </w:p>
    <w:p w:rsidR="001446EF" w:rsidRPr="001446EF" w:rsidRDefault="001446EF" w:rsidP="001446EF">
      <w:pPr>
        <w:numPr>
          <w:ilvl w:val="0"/>
          <w:numId w:val="65"/>
        </w:numPr>
        <w:autoSpaceDE w:val="0"/>
        <w:autoSpaceDN w:val="0"/>
        <w:adjustRightInd w:val="0"/>
        <w:spacing w:before="120"/>
        <w:ind w:left="284" w:hanging="284"/>
        <w:jc w:val="both"/>
        <w:rPr>
          <w:rFonts w:ascii="Trebuchet MS" w:hAnsi="Trebuchet MS"/>
          <w:iCs/>
          <w:color w:val="000000"/>
          <w:sz w:val="20"/>
          <w:szCs w:val="23"/>
        </w:rPr>
      </w:pPr>
      <w:r w:rsidRPr="001446EF">
        <w:rPr>
          <w:rFonts w:ascii="Trebuchet MS" w:hAnsi="Trebuchet MS"/>
          <w:iCs/>
          <w:color w:val="000000"/>
          <w:sz w:val="20"/>
          <w:szCs w:val="23"/>
        </w:rPr>
        <w:t>L’inscription des sociétés d’expertise comptable sous la dénomination sociale d’organisations auxquelles elles sont affiliées est subordonnée au respect, par l’ensemble du réseau, des règles déontologiques de la profession d’expert-comptable.</w:t>
      </w:r>
    </w:p>
    <w:p w:rsidR="001446EF" w:rsidRPr="001446EF" w:rsidRDefault="001446EF" w:rsidP="001446EF">
      <w:pPr>
        <w:numPr>
          <w:ilvl w:val="0"/>
          <w:numId w:val="65"/>
        </w:numPr>
        <w:autoSpaceDE w:val="0"/>
        <w:autoSpaceDN w:val="0"/>
        <w:adjustRightInd w:val="0"/>
        <w:spacing w:before="120"/>
        <w:ind w:left="284" w:hanging="284"/>
        <w:jc w:val="both"/>
        <w:rPr>
          <w:rFonts w:ascii="Trebuchet MS" w:hAnsi="Trebuchet MS"/>
          <w:iCs/>
          <w:color w:val="000000"/>
          <w:spacing w:val="-4"/>
          <w:sz w:val="20"/>
          <w:szCs w:val="23"/>
        </w:rPr>
      </w:pPr>
      <w:r w:rsidRPr="001446EF">
        <w:rPr>
          <w:rFonts w:ascii="Trebuchet MS" w:hAnsi="Trebuchet MS"/>
          <w:iCs/>
          <w:color w:val="000000"/>
          <w:spacing w:val="-4"/>
          <w:sz w:val="20"/>
          <w:szCs w:val="23"/>
        </w:rPr>
        <w:t>« </w:t>
      </w:r>
      <w:r w:rsidRPr="001446EF">
        <w:rPr>
          <w:rFonts w:ascii="Trebuchet MS" w:hAnsi="Trebuchet MS"/>
          <w:i/>
          <w:iCs/>
          <w:color w:val="000000"/>
          <w:spacing w:val="-4"/>
          <w:sz w:val="20"/>
          <w:szCs w:val="23"/>
        </w:rPr>
        <w:t xml:space="preserve">Outre les mentions prévues à l’article R. 123-237 du Code de commerce, dans toutes les correspondances et tous les documents émanant de la société, la raison ou la dénomination sociale est accompagnée </w:t>
      </w:r>
      <w:r w:rsidRPr="001446EF">
        <w:rPr>
          <w:rFonts w:ascii="Trebuchet MS" w:hAnsi="Trebuchet MS"/>
          <w:i/>
          <w:iCs/>
          <w:color w:val="000000"/>
          <w:spacing w:val="-4"/>
          <w:sz w:val="20"/>
          <w:szCs w:val="23"/>
        </w:rPr>
        <w:br/>
        <w:t>de la désignation de société de commissaires aux comptes complétée par l’indication de sa forme juridique.</w:t>
      </w:r>
      <w:r w:rsidRPr="001446EF">
        <w:rPr>
          <w:rFonts w:ascii="Trebuchet MS" w:hAnsi="Trebuchet MS"/>
          <w:iCs/>
          <w:color w:val="000000"/>
          <w:spacing w:val="-4"/>
          <w:sz w:val="20"/>
          <w:szCs w:val="23"/>
        </w:rPr>
        <w:t> » (C. com., art. R. 822-93)</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3 – Objet social</w:t>
      </w:r>
    </w:p>
    <w:p w:rsidR="001446EF" w:rsidRPr="00C94D1A" w:rsidRDefault="001446EF" w:rsidP="001446EF">
      <w:pPr>
        <w:numPr>
          <w:ilvl w:val="0"/>
          <w:numId w:val="67"/>
        </w:numPr>
        <w:autoSpaceDE w:val="0"/>
        <w:autoSpaceDN w:val="0"/>
        <w:adjustRightInd w:val="0"/>
        <w:spacing w:before="120"/>
        <w:ind w:left="284" w:hanging="284"/>
        <w:jc w:val="both"/>
        <w:rPr>
          <w:rFonts w:ascii="Trebuchet MS" w:hAnsi="Trebuchet MS"/>
          <w:iCs/>
          <w:sz w:val="20"/>
          <w:szCs w:val="23"/>
        </w:rPr>
      </w:pPr>
      <w:r w:rsidRPr="00C94D1A">
        <w:rPr>
          <w:rFonts w:ascii="Trebuchet MS" w:hAnsi="Trebuchet MS"/>
          <w:iCs/>
          <w:sz w:val="20"/>
          <w:szCs w:val="23"/>
        </w:rPr>
        <w:t>La société a pour objet l’exercice de la profession d’expert-comptable dès son inscription au Tableau de l’Ordre des experts-comptables et l’exercice de la profession de commissaire aux comptes, dès son inscription sur la liste des commissaires aux comptes. Elle peut, dans le respect des dispositions des articles 2 et 22 de l’Ordonnance n°45-2138 du 19 septembre 1945, modifiée par l’Ordonnance n°2014-443 du 30 avril 2014, réaliser toutes opérations qui se rapportent à cet objet social et qui sont compatibles avec celui-ci, dans les conditions fixées par les textes législatifs et réglementaires.</w:t>
      </w:r>
    </w:p>
    <w:p w:rsidR="001446EF" w:rsidRPr="001446EF" w:rsidRDefault="001446EF" w:rsidP="001446EF">
      <w:pPr>
        <w:numPr>
          <w:ilvl w:val="0"/>
          <w:numId w:val="67"/>
        </w:numPr>
        <w:autoSpaceDE w:val="0"/>
        <w:autoSpaceDN w:val="0"/>
        <w:adjustRightInd w:val="0"/>
        <w:spacing w:before="120"/>
        <w:ind w:left="284" w:hanging="284"/>
        <w:jc w:val="both"/>
        <w:rPr>
          <w:rFonts w:ascii="Trebuchet MS" w:hAnsi="Trebuchet MS"/>
          <w:iCs/>
          <w:color w:val="000000"/>
          <w:spacing w:val="-4"/>
          <w:sz w:val="20"/>
          <w:szCs w:val="23"/>
        </w:rPr>
      </w:pPr>
      <w:r w:rsidRPr="001446EF">
        <w:rPr>
          <w:rFonts w:ascii="Trebuchet MS" w:hAnsi="Trebuchet MS"/>
          <w:iCs/>
          <w:color w:val="000000"/>
          <w:sz w:val="20"/>
          <w:szCs w:val="23"/>
        </w:rPr>
        <w:t xml:space="preserve">L’inscription des sociétés d’expertise comptable et de commissaires aux comptes, d’une part, </w:t>
      </w:r>
      <w:r w:rsidRPr="001446EF">
        <w:rPr>
          <w:rFonts w:ascii="Trebuchet MS" w:hAnsi="Trebuchet MS"/>
          <w:iCs/>
          <w:color w:val="000000"/>
          <w:sz w:val="20"/>
          <w:szCs w:val="23"/>
        </w:rPr>
        <w:br/>
      </w:r>
      <w:r w:rsidRPr="001446EF">
        <w:rPr>
          <w:rFonts w:ascii="Trebuchet MS" w:hAnsi="Trebuchet MS"/>
          <w:iCs/>
          <w:color w:val="000000"/>
          <w:spacing w:val="-4"/>
          <w:sz w:val="20"/>
          <w:szCs w:val="23"/>
        </w:rPr>
        <w:t>au Tableau de l’Ordre des experts-comptables et, d’autre part, sur la liste des commissaires aux comptes, nécessite de suivre la procédure d’inscription propre à chacune des institutions professionnelles.</w:t>
      </w:r>
    </w:p>
    <w:p w:rsidR="001446EF" w:rsidRPr="001446EF" w:rsidRDefault="001446EF" w:rsidP="001446EF">
      <w:pPr>
        <w:autoSpaceDE w:val="0"/>
        <w:autoSpaceDN w:val="0"/>
        <w:adjustRightInd w:val="0"/>
        <w:spacing w:before="120"/>
        <w:ind w:left="284"/>
        <w:jc w:val="both"/>
        <w:rPr>
          <w:rFonts w:ascii="Trebuchet MS" w:hAnsi="Trebuchet MS"/>
          <w:iCs/>
          <w:color w:val="000000"/>
          <w:spacing w:val="-4"/>
          <w:sz w:val="20"/>
          <w:szCs w:val="23"/>
        </w:rPr>
      </w:pPr>
      <w:r w:rsidRPr="001446EF">
        <w:rPr>
          <w:rFonts w:ascii="Trebuchet MS" w:hAnsi="Trebuchet MS"/>
          <w:iCs/>
          <w:color w:val="000000"/>
          <w:spacing w:val="-4"/>
          <w:sz w:val="20"/>
          <w:szCs w:val="23"/>
        </w:rPr>
        <w:t xml:space="preserve">Pour l’inscription au Tableau de l’Ordre des experts-comptables, les statuts sont soumis au Conseil régional compétent, qui doit donner son autorisation avant que la société ne demande son immatriculation </w:t>
      </w:r>
      <w:r w:rsidRPr="001446EF">
        <w:rPr>
          <w:rFonts w:ascii="Trebuchet MS" w:hAnsi="Trebuchet MS"/>
          <w:iCs/>
          <w:color w:val="000000"/>
          <w:spacing w:val="-4"/>
          <w:sz w:val="20"/>
          <w:szCs w:val="23"/>
        </w:rPr>
        <w:br/>
        <w:t>au Registre du commerce et des sociétés.</w:t>
      </w:r>
    </w:p>
    <w:p w:rsidR="001446EF" w:rsidRPr="001446EF" w:rsidRDefault="001446EF" w:rsidP="001446EF">
      <w:pPr>
        <w:autoSpaceDE w:val="0"/>
        <w:autoSpaceDN w:val="0"/>
        <w:adjustRightInd w:val="0"/>
        <w:spacing w:before="120"/>
        <w:ind w:left="284"/>
        <w:jc w:val="both"/>
        <w:rPr>
          <w:rFonts w:ascii="Trebuchet MS" w:hAnsi="Trebuchet MS"/>
          <w:iCs/>
          <w:color w:val="000000"/>
          <w:spacing w:val="-4"/>
          <w:sz w:val="20"/>
          <w:szCs w:val="23"/>
        </w:rPr>
      </w:pPr>
      <w:r w:rsidRPr="001446EF">
        <w:rPr>
          <w:rFonts w:ascii="Trebuchet MS" w:hAnsi="Trebuchet MS"/>
          <w:iCs/>
          <w:color w:val="000000"/>
          <w:spacing w:val="-4"/>
          <w:sz w:val="20"/>
          <w:szCs w:val="23"/>
        </w:rPr>
        <w:t xml:space="preserve">Pour l’inscription sur la liste des commissaires aux comptes, celle-ci doit être consécutive à une demande préalable d’immatriculation au Registre du commerce et des sociétés (C. com., art. R. 822-75, 5° </w:t>
      </w:r>
      <w:r w:rsidRPr="001446EF">
        <w:rPr>
          <w:rFonts w:ascii="Trebuchet MS" w:hAnsi="Trebuchet MS"/>
          <w:iCs/>
          <w:color w:val="000000"/>
          <w:spacing w:val="-4"/>
          <w:sz w:val="20"/>
          <w:szCs w:val="23"/>
        </w:rPr>
        <w:br/>
        <w:t>et R. 822-85). Selon l’article R. 822-75, 5° du Code de commerce, est jointe à la demande d’inscription d’une société de commissaire aux comptes, « </w:t>
      </w:r>
      <w:r w:rsidRPr="001446EF">
        <w:rPr>
          <w:rFonts w:ascii="Trebuchet MS" w:hAnsi="Trebuchet MS"/>
          <w:i/>
          <w:iCs/>
          <w:color w:val="000000"/>
          <w:spacing w:val="-4"/>
          <w:sz w:val="20"/>
          <w:szCs w:val="23"/>
        </w:rPr>
        <w:t>une attestation du greffier du Tribunal de commerce du lieu du siège social constatant le dépôt au greffe de la demande et des pièces nécessaires à l’immatriculation ultérieure de la société au Registre du commerce et des sociétés</w:t>
      </w:r>
      <w:r w:rsidRPr="001446EF">
        <w:rPr>
          <w:rFonts w:ascii="Trebuchet MS" w:hAnsi="Trebuchet MS"/>
          <w:iCs/>
          <w:color w:val="000000"/>
          <w:spacing w:val="-4"/>
          <w:sz w:val="20"/>
          <w:szCs w:val="23"/>
        </w:rPr>
        <w:t> ».</w:t>
      </w:r>
    </w:p>
    <w:p w:rsidR="00125153" w:rsidRPr="00125153" w:rsidRDefault="00125153" w:rsidP="00125153">
      <w:pPr>
        <w:autoSpaceDE w:val="0"/>
        <w:autoSpaceDN w:val="0"/>
        <w:adjustRightInd w:val="0"/>
        <w:spacing w:before="120"/>
        <w:ind w:left="284"/>
        <w:jc w:val="both"/>
        <w:rPr>
          <w:rFonts w:ascii="Trebuchet MS" w:hAnsi="Trebuchet MS"/>
          <w:iCs/>
          <w:color w:val="000000"/>
          <w:sz w:val="20"/>
          <w:szCs w:val="23"/>
        </w:rPr>
      </w:pPr>
      <w:r w:rsidRPr="00125153">
        <w:rPr>
          <w:rFonts w:ascii="Trebuchet MS" w:hAnsi="Trebuchet MS"/>
          <w:iCs/>
          <w:color w:val="000000"/>
          <w:sz w:val="20"/>
          <w:szCs w:val="23"/>
        </w:rPr>
        <w:t>L’article L822-10 du code de commerce précise que les fonctions de commissaire aux comptes sont incompatibles avec toute activité commerciale, qu'elle soit exercée directement ou par personne interposée.</w:t>
      </w:r>
    </w:p>
    <w:p w:rsidR="00125153" w:rsidRPr="00125153" w:rsidRDefault="00125153" w:rsidP="00125153">
      <w:pPr>
        <w:autoSpaceDE w:val="0"/>
        <w:autoSpaceDN w:val="0"/>
        <w:adjustRightInd w:val="0"/>
        <w:spacing w:before="120"/>
        <w:ind w:left="284"/>
        <w:jc w:val="both"/>
        <w:rPr>
          <w:rFonts w:ascii="Trebuchet MS" w:hAnsi="Trebuchet MS"/>
          <w:iCs/>
          <w:color w:val="000000"/>
          <w:sz w:val="20"/>
          <w:szCs w:val="23"/>
        </w:rPr>
      </w:pPr>
      <w:r w:rsidRPr="00125153">
        <w:rPr>
          <w:rFonts w:ascii="Trebuchet MS" w:hAnsi="Trebuchet MS"/>
          <w:iCs/>
          <w:color w:val="000000"/>
          <w:sz w:val="20"/>
          <w:szCs w:val="23"/>
        </w:rPr>
        <w:t>Relevant que l’article L.822-10 du Code de commerce ne comporte pas de définition de la notion « d’activité commerciale » le H3C considère que celle-ci doit être appréciée par référence au droit commun et estime que chaque situation doit être examinée au cas par cas, en fonction de la nature des activités, de leur caractère habituel ou non, et du niveau d’implication directe ou indirecte du commissaire aux comptes.</w:t>
      </w:r>
    </w:p>
    <w:p w:rsidR="00125153" w:rsidRPr="00125153" w:rsidRDefault="00125153" w:rsidP="00125153">
      <w:pPr>
        <w:autoSpaceDE w:val="0"/>
        <w:autoSpaceDN w:val="0"/>
        <w:adjustRightInd w:val="0"/>
        <w:spacing w:before="120"/>
        <w:ind w:left="284"/>
        <w:jc w:val="both"/>
        <w:rPr>
          <w:rFonts w:ascii="Trebuchet MS" w:hAnsi="Trebuchet MS"/>
          <w:iCs/>
          <w:color w:val="000000"/>
          <w:sz w:val="20"/>
          <w:szCs w:val="23"/>
        </w:rPr>
      </w:pPr>
      <w:r w:rsidRPr="00125153">
        <w:rPr>
          <w:rFonts w:ascii="Trebuchet MS" w:hAnsi="Trebuchet MS"/>
          <w:iCs/>
          <w:color w:val="000000"/>
          <w:sz w:val="20"/>
          <w:szCs w:val="23"/>
        </w:rPr>
        <w:t>Le Haut Conseil relève que la forme commerciale d’une société n’implique pas automatiquement l’exercice, par cette dernière, d’une activité commerciale. La nature des actes effectivement réalisés par la société doit être analysée pour déterminer le caractère commercial ou non de son activité. Le caractère habituel ou non doit également être pris en compte.</w:t>
      </w:r>
    </w:p>
    <w:p w:rsidR="00125153" w:rsidRPr="00125153" w:rsidRDefault="00125153" w:rsidP="00125153">
      <w:pPr>
        <w:autoSpaceDE w:val="0"/>
        <w:autoSpaceDN w:val="0"/>
        <w:adjustRightInd w:val="0"/>
        <w:spacing w:before="120"/>
        <w:ind w:left="284"/>
        <w:jc w:val="both"/>
        <w:rPr>
          <w:rFonts w:ascii="Trebuchet MS" w:hAnsi="Trebuchet MS"/>
          <w:iCs/>
          <w:color w:val="000000"/>
          <w:sz w:val="20"/>
          <w:szCs w:val="23"/>
        </w:rPr>
      </w:pPr>
      <w:r w:rsidRPr="00125153">
        <w:rPr>
          <w:rFonts w:ascii="Trebuchet MS" w:hAnsi="Trebuchet MS"/>
          <w:iCs/>
          <w:color w:val="000000"/>
          <w:sz w:val="20"/>
          <w:szCs w:val="23"/>
        </w:rPr>
        <w:t>Il en conclu que le fait d’être associé, dirigeant ou mandataire social d’une société, même si elle exerce une activité commerciale, n’est pas en soi incompatible avec les fonctions de commissaire aux comptes. De telles attributions n’emportent pas nécessairement, selon le Haut Conseil, une implication dans l’activité commerciale de l’entité. Le niveau d’implication du commissaire aux comptes dans l’activité devra être analysé pour déterminer s’il est compatible avec ses fonctions.</w:t>
      </w:r>
    </w:p>
    <w:p w:rsidR="00125153" w:rsidRPr="001446EF" w:rsidRDefault="00125153" w:rsidP="00125153">
      <w:pPr>
        <w:autoSpaceDE w:val="0"/>
        <w:autoSpaceDN w:val="0"/>
        <w:adjustRightInd w:val="0"/>
        <w:spacing w:before="120"/>
        <w:ind w:left="284"/>
        <w:jc w:val="both"/>
        <w:rPr>
          <w:rFonts w:ascii="Trebuchet MS" w:hAnsi="Trebuchet MS"/>
          <w:iCs/>
          <w:color w:val="000000"/>
          <w:sz w:val="20"/>
          <w:szCs w:val="23"/>
        </w:rPr>
      </w:pPr>
      <w:r w:rsidRPr="00125153">
        <w:rPr>
          <w:rFonts w:ascii="Trebuchet MS" w:hAnsi="Trebuchet MS"/>
          <w:iCs/>
          <w:color w:val="000000"/>
          <w:sz w:val="20"/>
          <w:szCs w:val="23"/>
        </w:rPr>
        <w:t>Par ailleurs, il conviendra de rechercher si le commissaire aux comptes n’est pas impliqué dans l’activité commerciale par personne interposée, conformément à l’article L.822-10 du Code de commerce.</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4 – Siège social</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Pour les sociétés de commissaires aux comptes, l’article R. 822-73 du Code de commerce dispose :</w:t>
      </w:r>
    </w:p>
    <w:p w:rsidR="001446EF" w:rsidRPr="001446EF" w:rsidRDefault="001446EF" w:rsidP="001446EF">
      <w:pPr>
        <w:autoSpaceDE w:val="0"/>
        <w:autoSpaceDN w:val="0"/>
        <w:adjustRightInd w:val="0"/>
        <w:spacing w:before="120"/>
        <w:jc w:val="both"/>
        <w:rPr>
          <w:rFonts w:ascii="Trebuchet MS" w:hAnsi="Trebuchet MS"/>
          <w:i/>
          <w:iCs/>
          <w:color w:val="000000"/>
          <w:sz w:val="20"/>
          <w:szCs w:val="23"/>
        </w:rPr>
      </w:pPr>
      <w:r w:rsidRPr="001446EF">
        <w:rPr>
          <w:rFonts w:ascii="Trebuchet MS" w:hAnsi="Trebuchet MS"/>
          <w:iCs/>
          <w:color w:val="000000"/>
          <w:sz w:val="20"/>
          <w:szCs w:val="23"/>
        </w:rPr>
        <w:t>« </w:t>
      </w:r>
      <w:r w:rsidRPr="001446EF">
        <w:rPr>
          <w:rFonts w:ascii="Trebuchet MS" w:hAnsi="Trebuchet MS"/>
          <w:i/>
          <w:iCs/>
          <w:color w:val="000000"/>
          <w:sz w:val="20"/>
          <w:szCs w:val="23"/>
        </w:rPr>
        <w:t xml:space="preserve">Le siège des sociétés de commissaires aux comptes est fixé dans le ressort de la Compagnie régionale qui compte le plus grand nombre d'actionnaires ou d'associés inscrits sur la liste de la Cour d'appel. </w:t>
      </w:r>
      <w:r w:rsidRPr="001446EF">
        <w:rPr>
          <w:rFonts w:ascii="Trebuchet MS" w:hAnsi="Trebuchet MS"/>
          <w:i/>
          <w:iCs/>
          <w:color w:val="000000"/>
          <w:sz w:val="20"/>
          <w:szCs w:val="23"/>
        </w:rPr>
        <w:br/>
        <w:t>Si deux ou plusieurs compagnies régionales comptent le même nombre d'actionnaires ou associés, le siège peut être fixé au choix des actionnaires ou associés dans l'une de celles-ci.</w:t>
      </w:r>
    </w:p>
    <w:p w:rsid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
          <w:iCs/>
          <w:color w:val="000000"/>
          <w:sz w:val="20"/>
          <w:szCs w:val="23"/>
        </w:rPr>
        <w:t xml:space="preserve">Si le plus grand nombre d'actionnaires ou d'associés est inscrit sur la liste d'une autre Cour d'appel </w:t>
      </w:r>
      <w:r w:rsidRPr="001446EF">
        <w:rPr>
          <w:rFonts w:ascii="Trebuchet MS" w:hAnsi="Trebuchet MS"/>
          <w:i/>
          <w:iCs/>
          <w:color w:val="000000"/>
          <w:sz w:val="20"/>
          <w:szCs w:val="23"/>
        </w:rPr>
        <w:br/>
        <w:t xml:space="preserve">par suite d'une modification de la détention du capital social, la société dispose d'un délai d'un an </w:t>
      </w:r>
      <w:r w:rsidRPr="001446EF">
        <w:rPr>
          <w:rFonts w:ascii="Trebuchet MS" w:hAnsi="Trebuchet MS"/>
          <w:i/>
          <w:iCs/>
          <w:color w:val="000000"/>
          <w:sz w:val="20"/>
          <w:szCs w:val="23"/>
        </w:rPr>
        <w:br/>
      </w:r>
      <w:r w:rsidRPr="001446EF">
        <w:rPr>
          <w:rFonts w:ascii="Trebuchet MS" w:hAnsi="Trebuchet MS"/>
          <w:i/>
          <w:iCs/>
          <w:color w:val="000000"/>
          <w:spacing w:val="-4"/>
          <w:sz w:val="20"/>
          <w:szCs w:val="23"/>
        </w:rPr>
        <w:t>pour transférer son siège social et solliciter son inscription auprès de la Commission régionale compétente.</w:t>
      </w:r>
      <w:r w:rsidRPr="001446EF">
        <w:rPr>
          <w:rFonts w:ascii="Trebuchet MS" w:hAnsi="Trebuchet MS"/>
          <w:iCs/>
          <w:color w:val="000000"/>
          <w:spacing w:val="-4"/>
          <w:sz w:val="20"/>
          <w:szCs w:val="23"/>
        </w:rPr>
        <w:t> »</w:t>
      </w:r>
    </w:p>
    <w:p w:rsidR="001446EF" w:rsidRDefault="001446EF" w:rsidP="001446EF">
      <w:pPr>
        <w:autoSpaceDE w:val="0"/>
        <w:autoSpaceDN w:val="0"/>
        <w:adjustRightInd w:val="0"/>
        <w:spacing w:before="120"/>
        <w:jc w:val="both"/>
        <w:rPr>
          <w:rFonts w:ascii="Trebuchet MS" w:hAnsi="Trebuchet MS"/>
          <w:iCs/>
          <w:color w:val="000000"/>
          <w:spacing w:val="-4"/>
          <w:sz w:val="20"/>
          <w:szCs w:val="23"/>
        </w:rPr>
      </w:pPr>
    </w:p>
    <w:p w:rsidR="001446EF" w:rsidRPr="001446EF" w:rsidRDefault="001446EF" w:rsidP="001446EF">
      <w:pPr>
        <w:autoSpaceDE w:val="0"/>
        <w:autoSpaceDN w:val="0"/>
        <w:adjustRightInd w:val="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6 - Apports - Formation du capital</w:t>
      </w:r>
    </w:p>
    <w:p w:rsidR="00125153" w:rsidRPr="00125153" w:rsidRDefault="001446EF" w:rsidP="00125153">
      <w:pPr>
        <w:numPr>
          <w:ilvl w:val="0"/>
          <w:numId w:val="68"/>
        </w:numPr>
        <w:autoSpaceDE w:val="0"/>
        <w:autoSpaceDN w:val="0"/>
        <w:adjustRightInd w:val="0"/>
        <w:spacing w:before="120"/>
        <w:ind w:left="284" w:hanging="284"/>
        <w:jc w:val="both"/>
        <w:rPr>
          <w:rFonts w:ascii="Trebuchet MS" w:hAnsi="Trebuchet MS"/>
          <w:bCs/>
          <w:iCs/>
          <w:color w:val="000000"/>
          <w:spacing w:val="-4"/>
          <w:sz w:val="20"/>
          <w:szCs w:val="23"/>
        </w:rPr>
      </w:pPr>
      <w:r w:rsidRPr="001446EF">
        <w:rPr>
          <w:rFonts w:ascii="Trebuchet MS" w:hAnsi="Trebuchet MS"/>
          <w:iCs/>
          <w:color w:val="000000"/>
          <w:spacing w:val="-4"/>
          <w:sz w:val="20"/>
          <w:szCs w:val="23"/>
        </w:rPr>
        <w:t xml:space="preserve">En cas d’apport de biens communs, il convient de faire application des dispositions de l’article 1832-2 </w:t>
      </w:r>
      <w:r w:rsidRPr="001446EF">
        <w:rPr>
          <w:rFonts w:ascii="Trebuchet MS" w:hAnsi="Trebuchet MS"/>
          <w:iCs/>
          <w:color w:val="000000"/>
          <w:spacing w:val="-4"/>
          <w:sz w:val="20"/>
          <w:szCs w:val="23"/>
        </w:rPr>
        <w:br/>
        <w:t xml:space="preserve">du Code civil. </w:t>
      </w:r>
      <w:r w:rsidR="00125153" w:rsidRPr="00125153">
        <w:rPr>
          <w:rFonts w:ascii="Trebuchet MS" w:hAnsi="Trebuchet MS"/>
          <w:bCs/>
          <w:iCs/>
          <w:color w:val="000000"/>
          <w:spacing w:val="-4"/>
          <w:sz w:val="20"/>
          <w:szCs w:val="23"/>
        </w:rPr>
        <w:t>Si le conjoint n’a pas la qualification requise pour l’exercice de la profession, objet de la société, sa demande éventuelle à devenir lui-même associé  pour la moitié des parts lui revenant ne doit pas avoir pour effet de faire tomber les droits de vote des personnes mentionnées au I de l’article 7de l’ordonnance du 19 septembre 1945 en dessous des 2/3</w:t>
      </w:r>
    </w:p>
    <w:p w:rsidR="001446EF" w:rsidRPr="001446EF" w:rsidRDefault="001446EF" w:rsidP="00125153">
      <w:pPr>
        <w:autoSpaceDE w:val="0"/>
        <w:autoSpaceDN w:val="0"/>
        <w:adjustRightInd w:val="0"/>
        <w:spacing w:before="120"/>
        <w:ind w:left="284"/>
        <w:jc w:val="both"/>
        <w:rPr>
          <w:rFonts w:ascii="Trebuchet MS" w:hAnsi="Trebuchet MS"/>
          <w:iCs/>
          <w:color w:val="000000"/>
          <w:spacing w:val="-4"/>
          <w:sz w:val="20"/>
          <w:szCs w:val="23"/>
        </w:rPr>
      </w:pPr>
      <w:r w:rsidRPr="001446EF">
        <w:rPr>
          <w:rFonts w:ascii="Trebuchet MS" w:hAnsi="Trebuchet MS"/>
          <w:iCs/>
          <w:color w:val="000000"/>
          <w:spacing w:val="-4"/>
          <w:sz w:val="20"/>
          <w:szCs w:val="23"/>
        </w:rPr>
        <w:t>Si cette demande est notifiée postérieurement à l’apport, elle sera</w:t>
      </w:r>
      <w:r w:rsidR="00125153">
        <w:rPr>
          <w:rFonts w:ascii="Trebuchet MS" w:hAnsi="Trebuchet MS"/>
          <w:iCs/>
          <w:color w:val="000000"/>
          <w:spacing w:val="-4"/>
          <w:sz w:val="20"/>
          <w:szCs w:val="23"/>
        </w:rPr>
        <w:t xml:space="preserve"> </w:t>
      </w:r>
      <w:r w:rsidRPr="001446EF">
        <w:rPr>
          <w:rFonts w:ascii="Trebuchet MS" w:hAnsi="Trebuchet MS"/>
          <w:iCs/>
          <w:color w:val="000000"/>
          <w:spacing w:val="-4"/>
          <w:sz w:val="20"/>
          <w:szCs w:val="23"/>
        </w:rPr>
        <w:t>donc soumise à la clause spéciale d’agrément prévue à l’article 10 du présent modèle de statuts, conformément à l’article 1832-2 précité. Le conjoint peut valablement renoncer à revendiquer la qualité d’associé et cette renonciation est irrévocable (Cass. com., 12 janvier 1993 : Bull. Joly Sociétés 1993, § 99, p. 364, note J. Derruppé).</w:t>
      </w:r>
    </w:p>
    <w:p w:rsidR="001446EF" w:rsidRPr="001446EF" w:rsidRDefault="001446EF" w:rsidP="001446EF">
      <w:pPr>
        <w:numPr>
          <w:ilvl w:val="0"/>
          <w:numId w:val="68"/>
        </w:numPr>
        <w:autoSpaceDE w:val="0"/>
        <w:autoSpaceDN w:val="0"/>
        <w:adjustRightInd w:val="0"/>
        <w:spacing w:before="120"/>
        <w:ind w:left="284" w:hanging="284"/>
        <w:jc w:val="both"/>
        <w:rPr>
          <w:rFonts w:ascii="Trebuchet MS" w:hAnsi="Trebuchet MS"/>
          <w:iCs/>
          <w:color w:val="000000"/>
          <w:sz w:val="20"/>
          <w:szCs w:val="23"/>
        </w:rPr>
      </w:pPr>
      <w:r w:rsidRPr="001446EF">
        <w:rPr>
          <w:rFonts w:ascii="Trebuchet MS" w:hAnsi="Trebuchet MS"/>
          <w:iCs/>
          <w:color w:val="000000"/>
          <w:sz w:val="20"/>
          <w:szCs w:val="23"/>
        </w:rPr>
        <w:t xml:space="preserve">L’article L. 223-7, alinéa 2, du Code de commerce étend la possibilité des apports en industrie. </w:t>
      </w:r>
      <w:r w:rsidRPr="001446EF">
        <w:rPr>
          <w:rFonts w:ascii="Trebuchet MS" w:hAnsi="Trebuchet MS"/>
          <w:iCs/>
          <w:color w:val="000000"/>
          <w:sz w:val="20"/>
          <w:szCs w:val="23"/>
        </w:rPr>
        <w:br/>
        <w:t>Les statuts déterminent les modalités selon lesquelles peuvent être souscrites des parts en industrie. Ces apports ne concourent pas à la formation du capital social. L’attention des rédacteurs des statuts est appelée sur les difficultés que suscitent ces apports. Les statuts doivent en déterminer précisément les conditions et notamment les conséquences de la cessation, par l’associé en industrie, de l’exercice de son activité au profit de la société: exclusion, etc. (art. 1844-1 du Code civil).</w:t>
      </w:r>
    </w:p>
    <w:p w:rsidR="001446EF" w:rsidRPr="001446EF" w:rsidRDefault="001446EF" w:rsidP="001446EF">
      <w:pPr>
        <w:numPr>
          <w:ilvl w:val="0"/>
          <w:numId w:val="68"/>
        </w:numPr>
        <w:autoSpaceDE w:val="0"/>
        <w:autoSpaceDN w:val="0"/>
        <w:adjustRightInd w:val="0"/>
        <w:spacing w:before="120"/>
        <w:ind w:left="284" w:hanging="284"/>
        <w:jc w:val="both"/>
        <w:rPr>
          <w:rFonts w:ascii="Trebuchet MS" w:hAnsi="Trebuchet MS"/>
          <w:iCs/>
          <w:color w:val="000000"/>
          <w:sz w:val="20"/>
          <w:szCs w:val="23"/>
        </w:rPr>
      </w:pPr>
      <w:r w:rsidRPr="001446EF">
        <w:rPr>
          <w:rFonts w:ascii="Trebuchet MS" w:hAnsi="Trebuchet MS"/>
          <w:iCs/>
          <w:color w:val="000000"/>
          <w:sz w:val="20"/>
          <w:szCs w:val="23"/>
        </w:rPr>
        <w:t>L’article L. 223-7, alinéa 1</w:t>
      </w:r>
      <w:r w:rsidRPr="001446EF">
        <w:rPr>
          <w:rFonts w:ascii="Trebuchet MS" w:hAnsi="Trebuchet MS"/>
          <w:iCs/>
          <w:color w:val="000000"/>
          <w:sz w:val="20"/>
          <w:szCs w:val="23"/>
          <w:vertAlign w:val="superscript"/>
        </w:rPr>
        <w:t>er</w:t>
      </w:r>
      <w:r w:rsidRPr="001446EF">
        <w:rPr>
          <w:rFonts w:ascii="Trebuchet MS" w:hAnsi="Trebuchet MS"/>
          <w:iCs/>
          <w:color w:val="000000"/>
          <w:sz w:val="20"/>
          <w:szCs w:val="23"/>
        </w:rPr>
        <w:t xml:space="preserve">, du Code de commerce assouplit les règles gouvernant la libération </w:t>
      </w:r>
      <w:r w:rsidRPr="001446EF">
        <w:rPr>
          <w:rFonts w:ascii="Trebuchet MS" w:hAnsi="Trebuchet MS"/>
          <w:iCs/>
          <w:color w:val="000000"/>
          <w:sz w:val="20"/>
          <w:szCs w:val="23"/>
        </w:rPr>
        <w:br/>
        <w:t xml:space="preserve">des apports en numéraire. Ces apports peuvent n’être libérés que d’un cinquième au moins </w:t>
      </w:r>
      <w:r w:rsidRPr="001446EF">
        <w:rPr>
          <w:rFonts w:ascii="Trebuchet MS" w:hAnsi="Trebuchet MS"/>
          <w:iCs/>
          <w:color w:val="000000"/>
          <w:sz w:val="20"/>
          <w:szCs w:val="23"/>
        </w:rPr>
        <w:br/>
        <w:t xml:space="preserve">de leur montant lors de la constitution, la libération du surplus intervenant en une ou plusieurs fois </w:t>
      </w:r>
      <w:r w:rsidRPr="001446EF">
        <w:rPr>
          <w:rFonts w:ascii="Trebuchet MS" w:hAnsi="Trebuchet MS"/>
          <w:iCs/>
          <w:color w:val="000000"/>
          <w:sz w:val="20"/>
          <w:szCs w:val="23"/>
        </w:rPr>
        <w:br/>
        <w:t>sur décision du gérant dans un délai qui ne peut pas excéder cinq ans à compter de l’immatriculation de la société au Registre du commerce et des sociétés.</w:t>
      </w:r>
    </w:p>
    <w:p w:rsidR="001446EF" w:rsidRPr="001446EF" w:rsidRDefault="001446EF" w:rsidP="001446EF">
      <w:pPr>
        <w:numPr>
          <w:ilvl w:val="0"/>
          <w:numId w:val="68"/>
        </w:numPr>
        <w:autoSpaceDE w:val="0"/>
        <w:autoSpaceDN w:val="0"/>
        <w:adjustRightInd w:val="0"/>
        <w:spacing w:before="120"/>
        <w:ind w:left="284" w:hanging="284"/>
        <w:jc w:val="both"/>
        <w:rPr>
          <w:rFonts w:ascii="Trebuchet MS" w:hAnsi="Trebuchet MS"/>
          <w:iCs/>
          <w:color w:val="000000"/>
          <w:sz w:val="20"/>
          <w:szCs w:val="23"/>
        </w:rPr>
      </w:pPr>
      <w:r w:rsidRPr="001446EF">
        <w:rPr>
          <w:rFonts w:ascii="Trebuchet MS" w:hAnsi="Trebuchet MS"/>
          <w:iCs/>
          <w:color w:val="000000"/>
          <w:sz w:val="20"/>
          <w:szCs w:val="23"/>
        </w:rPr>
        <w:t xml:space="preserve">Si la société n’est pas constituée dans le délai de six mois à compter du premier dépôt des fonds, </w:t>
      </w:r>
      <w:r w:rsidRPr="001446EF">
        <w:rPr>
          <w:rFonts w:ascii="Trebuchet MS" w:hAnsi="Trebuchet MS"/>
          <w:iCs/>
          <w:color w:val="000000"/>
          <w:sz w:val="20"/>
          <w:szCs w:val="23"/>
        </w:rPr>
        <w:br/>
        <w:t xml:space="preserve">ou si elle n’est pas immatriculée au Registre du commerce et des sociétés dans le même délai, </w:t>
      </w:r>
      <w:r w:rsidRPr="001446EF">
        <w:rPr>
          <w:rFonts w:ascii="Trebuchet MS" w:hAnsi="Trebuchet MS"/>
          <w:iCs/>
          <w:color w:val="000000"/>
          <w:sz w:val="20"/>
          <w:szCs w:val="23"/>
        </w:rPr>
        <w:br/>
        <w:t xml:space="preserve">les apporteurs peuvent individuellement demander en justice l’autorisation de retirer le montant </w:t>
      </w:r>
      <w:r w:rsidRPr="001446EF">
        <w:rPr>
          <w:rFonts w:ascii="Trebuchet MS" w:hAnsi="Trebuchet MS"/>
          <w:iCs/>
          <w:color w:val="000000"/>
          <w:sz w:val="20"/>
          <w:szCs w:val="23"/>
        </w:rPr>
        <w:br/>
        <w:t>de leurs apports. Dans les mêmes cas, un mandataire, dès lors qu’il représente tous les apporteurs, peut demander directement au dépositaire le retrait des fonds (C. com., art. L. 223-8, al. 2).</w:t>
      </w:r>
    </w:p>
    <w:p w:rsidR="001446EF" w:rsidRPr="001446EF" w:rsidRDefault="001446EF" w:rsidP="001446EF">
      <w:pPr>
        <w:numPr>
          <w:ilvl w:val="0"/>
          <w:numId w:val="68"/>
        </w:numPr>
        <w:autoSpaceDE w:val="0"/>
        <w:autoSpaceDN w:val="0"/>
        <w:adjustRightInd w:val="0"/>
        <w:spacing w:before="120"/>
        <w:ind w:left="284" w:hanging="284"/>
        <w:jc w:val="both"/>
        <w:rPr>
          <w:rFonts w:ascii="Trebuchet MS" w:hAnsi="Trebuchet MS"/>
          <w:iCs/>
          <w:color w:val="000000"/>
          <w:sz w:val="20"/>
          <w:szCs w:val="23"/>
        </w:rPr>
      </w:pPr>
      <w:r w:rsidRPr="001446EF">
        <w:rPr>
          <w:rFonts w:ascii="Trebuchet MS" w:hAnsi="Trebuchet MS"/>
          <w:iCs/>
          <w:color w:val="000000"/>
          <w:sz w:val="20"/>
          <w:szCs w:val="23"/>
        </w:rPr>
        <w:t xml:space="preserve">Les apports en nature de mandats de commissaires aux comptes ne sont pas possibles, étant donné </w:t>
      </w:r>
      <w:r w:rsidRPr="001446EF">
        <w:rPr>
          <w:rFonts w:ascii="Trebuchet MS" w:hAnsi="Trebuchet MS"/>
          <w:iCs/>
          <w:color w:val="000000"/>
          <w:sz w:val="20"/>
          <w:szCs w:val="23"/>
        </w:rPr>
        <w:br/>
        <w:t>les conditions d’exercice de la mission légale.</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7 - Capital social - Répartition des parts - Liste des associés</w:t>
      </w:r>
    </w:p>
    <w:p w:rsidR="001446EF" w:rsidRPr="001446EF" w:rsidRDefault="001446EF" w:rsidP="001446EF">
      <w:pPr>
        <w:numPr>
          <w:ilvl w:val="0"/>
          <w:numId w:val="69"/>
        </w:numPr>
        <w:autoSpaceDE w:val="0"/>
        <w:autoSpaceDN w:val="0"/>
        <w:adjustRightInd w:val="0"/>
        <w:spacing w:before="120"/>
        <w:ind w:left="284" w:hanging="284"/>
        <w:jc w:val="both"/>
        <w:rPr>
          <w:rFonts w:ascii="Trebuchet MS" w:hAnsi="Trebuchet MS"/>
          <w:iCs/>
          <w:color w:val="000000"/>
          <w:sz w:val="20"/>
          <w:szCs w:val="23"/>
        </w:rPr>
      </w:pPr>
      <w:r w:rsidRPr="001446EF">
        <w:rPr>
          <w:rFonts w:ascii="Trebuchet MS" w:hAnsi="Trebuchet MS"/>
          <w:iCs/>
          <w:color w:val="000000"/>
          <w:sz w:val="20"/>
          <w:szCs w:val="23"/>
        </w:rPr>
        <w:t>La société à responsabilité limitée n’a plus l’obligation d’avoir un capital social minimal depuis la loi n°2003-721 du 1er août 2003.</w:t>
      </w:r>
    </w:p>
    <w:p w:rsidR="001446EF" w:rsidRPr="00C94D1A" w:rsidRDefault="001446EF" w:rsidP="001446EF">
      <w:pPr>
        <w:numPr>
          <w:ilvl w:val="0"/>
          <w:numId w:val="69"/>
        </w:numPr>
        <w:autoSpaceDE w:val="0"/>
        <w:autoSpaceDN w:val="0"/>
        <w:adjustRightInd w:val="0"/>
        <w:spacing w:before="120"/>
        <w:ind w:left="284" w:hanging="284"/>
        <w:jc w:val="both"/>
        <w:rPr>
          <w:rFonts w:ascii="Trebuchet MS" w:hAnsi="Trebuchet MS"/>
          <w:iCs/>
          <w:spacing w:val="-4"/>
          <w:sz w:val="20"/>
          <w:szCs w:val="23"/>
        </w:rPr>
      </w:pPr>
      <w:r w:rsidRPr="00C94D1A">
        <w:rPr>
          <w:rFonts w:ascii="Trebuchet MS" w:hAnsi="Trebuchet MS"/>
          <w:iCs/>
          <w:sz w:val="20"/>
          <w:szCs w:val="23"/>
        </w:rPr>
        <w:t>Les personnes mentionnées au premier alinéa de l’article 7, I, modifié par l’Ordonnance n°2014-443 du 30 avril 2014, détiennent, directement ou indirectement par une société inscrite à l’ordre, plus de deux tiers des droits de vote.</w:t>
      </w:r>
    </w:p>
    <w:p w:rsidR="001446EF" w:rsidRPr="00C94D1A" w:rsidRDefault="001446EF" w:rsidP="001446EF">
      <w:pPr>
        <w:numPr>
          <w:ilvl w:val="0"/>
          <w:numId w:val="69"/>
        </w:numPr>
        <w:autoSpaceDE w:val="0"/>
        <w:autoSpaceDN w:val="0"/>
        <w:adjustRightInd w:val="0"/>
        <w:spacing w:before="120"/>
        <w:ind w:left="284" w:hanging="284"/>
        <w:jc w:val="both"/>
        <w:rPr>
          <w:rFonts w:ascii="Trebuchet MS" w:hAnsi="Trebuchet MS"/>
          <w:iCs/>
          <w:sz w:val="20"/>
          <w:szCs w:val="23"/>
        </w:rPr>
      </w:pPr>
      <w:r w:rsidRPr="00C94D1A">
        <w:rPr>
          <w:rFonts w:ascii="Trebuchet MS" w:hAnsi="Trebuchet MS"/>
          <w:iCs/>
          <w:sz w:val="20"/>
          <w:szCs w:val="23"/>
        </w:rPr>
        <w:t>« </w:t>
      </w:r>
      <w:r w:rsidRPr="00C94D1A">
        <w:rPr>
          <w:rFonts w:ascii="Trebuchet MS" w:hAnsi="Trebuchet MS"/>
          <w:i/>
          <w:iCs/>
          <w:sz w:val="20"/>
          <w:szCs w:val="23"/>
        </w:rPr>
        <w:t>Aucune personne ou groupement d’intérêts, extérieur aux personnes mentionnées au premier alinéa ne détient,  directement</w:t>
      </w:r>
      <w:r w:rsidR="000E0779">
        <w:rPr>
          <w:rFonts w:ascii="Trebuchet MS" w:hAnsi="Trebuchet MS"/>
          <w:i/>
          <w:iCs/>
          <w:sz w:val="20"/>
          <w:szCs w:val="23"/>
        </w:rPr>
        <w:t xml:space="preserve"> </w:t>
      </w:r>
      <w:r w:rsidRPr="00C94D1A">
        <w:rPr>
          <w:rFonts w:ascii="Trebuchet MS" w:hAnsi="Trebuchet MS"/>
          <w:i/>
          <w:iCs/>
          <w:sz w:val="20"/>
          <w:szCs w:val="23"/>
        </w:rPr>
        <w:t xml:space="preserve">ou par </w:t>
      </w:r>
      <w:r w:rsidR="000E0779">
        <w:rPr>
          <w:rFonts w:ascii="Trebuchet MS" w:hAnsi="Trebuchet MS"/>
          <w:i/>
          <w:iCs/>
          <w:sz w:val="20"/>
          <w:szCs w:val="23"/>
        </w:rPr>
        <w:t xml:space="preserve">une </w:t>
      </w:r>
      <w:r w:rsidRPr="00C94D1A">
        <w:rPr>
          <w:rFonts w:ascii="Trebuchet MS" w:hAnsi="Trebuchet MS"/>
          <w:i/>
          <w:iCs/>
          <w:sz w:val="20"/>
          <w:szCs w:val="23"/>
        </w:rPr>
        <w:t xml:space="preserve">personne interposée, une partie des droits de vote de nature à mettre </w:t>
      </w:r>
      <w:r w:rsidRPr="00C94D1A">
        <w:rPr>
          <w:rFonts w:ascii="Trebuchet MS" w:hAnsi="Trebuchet MS"/>
          <w:i/>
          <w:iCs/>
          <w:sz w:val="20"/>
          <w:szCs w:val="23"/>
        </w:rPr>
        <w:br/>
        <w:t>en péril l’exercice de la profession, l’indépendance des experts-comptables, ou le respect par ces derniers des règles inhérentes à leur statut et à leur déontologie.</w:t>
      </w:r>
      <w:r w:rsidRPr="00C94D1A">
        <w:rPr>
          <w:rFonts w:ascii="Trebuchet MS" w:hAnsi="Trebuchet MS"/>
          <w:iCs/>
          <w:sz w:val="20"/>
          <w:szCs w:val="23"/>
        </w:rPr>
        <w:t> » (Ord., art. 7, I, 2°)</w:t>
      </w:r>
    </w:p>
    <w:p w:rsidR="001446EF" w:rsidRPr="001446EF" w:rsidRDefault="001446EF" w:rsidP="001446EF">
      <w:pPr>
        <w:numPr>
          <w:ilvl w:val="0"/>
          <w:numId w:val="69"/>
        </w:numPr>
        <w:autoSpaceDE w:val="0"/>
        <w:autoSpaceDN w:val="0"/>
        <w:adjustRightInd w:val="0"/>
        <w:spacing w:before="120"/>
        <w:ind w:left="284" w:hanging="284"/>
        <w:jc w:val="both"/>
        <w:rPr>
          <w:rFonts w:ascii="Trebuchet MS" w:hAnsi="Trebuchet MS"/>
          <w:iCs/>
          <w:color w:val="000000"/>
          <w:spacing w:val="-4"/>
          <w:sz w:val="20"/>
          <w:szCs w:val="23"/>
        </w:rPr>
      </w:pPr>
      <w:r w:rsidRPr="001446EF">
        <w:rPr>
          <w:rFonts w:ascii="Trebuchet MS" w:hAnsi="Trebuchet MS"/>
          <w:iCs/>
          <w:color w:val="000000"/>
          <w:sz w:val="20"/>
          <w:szCs w:val="23"/>
        </w:rPr>
        <w:t>« </w:t>
      </w:r>
      <w:r w:rsidRPr="001446EF">
        <w:rPr>
          <w:rFonts w:ascii="Trebuchet MS" w:hAnsi="Trebuchet MS"/>
          <w:i/>
          <w:iCs/>
          <w:color w:val="000000"/>
          <w:sz w:val="20"/>
          <w:szCs w:val="23"/>
        </w:rPr>
        <w:t xml:space="preserve">Les trois quarts des droits de vote des sociétés de commissaires aux comptes sont détenus par </w:t>
      </w:r>
      <w:r w:rsidRPr="001446EF">
        <w:rPr>
          <w:rFonts w:ascii="Trebuchet MS" w:hAnsi="Trebuchet MS"/>
          <w:i/>
          <w:iCs/>
          <w:color w:val="000000"/>
          <w:sz w:val="20"/>
          <w:szCs w:val="23"/>
        </w:rPr>
        <w:br/>
        <w:t xml:space="preserve">des commissaires aux comptes ou des sociétés de commissaires aux comptes inscrits sur la liste prévue </w:t>
      </w:r>
      <w:r w:rsidRPr="001446EF">
        <w:rPr>
          <w:rFonts w:ascii="Trebuchet MS" w:hAnsi="Trebuchet MS"/>
          <w:i/>
          <w:iCs/>
          <w:color w:val="000000"/>
          <w:spacing w:val="-4"/>
          <w:sz w:val="20"/>
          <w:szCs w:val="23"/>
        </w:rPr>
        <w:t xml:space="preserve">à l’article L. 822-1 ou des professionnels régulièrement agréés dans un autre Etat membre </w:t>
      </w:r>
      <w:r w:rsidRPr="001446EF">
        <w:rPr>
          <w:rFonts w:ascii="Trebuchet MS" w:hAnsi="Trebuchet MS"/>
          <w:i/>
          <w:iCs/>
          <w:color w:val="000000"/>
          <w:spacing w:val="-4"/>
          <w:sz w:val="20"/>
          <w:szCs w:val="23"/>
        </w:rPr>
        <w:br/>
        <w:t xml:space="preserve">de la Communauté européenne pour l’exercice du contrôle légal des comptes. Lorsqu’une société </w:t>
      </w:r>
      <w:r w:rsidRPr="001446EF">
        <w:rPr>
          <w:rFonts w:ascii="Trebuchet MS" w:hAnsi="Trebuchet MS"/>
          <w:i/>
          <w:iCs/>
          <w:color w:val="000000"/>
          <w:spacing w:val="-4"/>
          <w:sz w:val="20"/>
          <w:szCs w:val="23"/>
        </w:rPr>
        <w:br/>
        <w:t xml:space="preserve">de commissaires aux comptes a une participation dans le capital d’une autre société de commissaires </w:t>
      </w:r>
      <w:r w:rsidRPr="001446EF">
        <w:rPr>
          <w:rFonts w:ascii="Trebuchet MS" w:hAnsi="Trebuchet MS"/>
          <w:i/>
          <w:iCs/>
          <w:color w:val="000000"/>
          <w:spacing w:val="-4"/>
          <w:sz w:val="20"/>
          <w:szCs w:val="23"/>
        </w:rPr>
        <w:br/>
        <w:t xml:space="preserve">aux comptes, les actionnaires ou associés non commissaires aux comptes ne peuvent détenir plus </w:t>
      </w:r>
      <w:r w:rsidRPr="001446EF">
        <w:rPr>
          <w:rFonts w:ascii="Trebuchet MS" w:hAnsi="Trebuchet MS"/>
          <w:i/>
          <w:iCs/>
          <w:color w:val="000000"/>
          <w:spacing w:val="-4"/>
          <w:sz w:val="20"/>
          <w:szCs w:val="23"/>
        </w:rPr>
        <w:br/>
        <w:t>d’un quart de l’ensemble des droits de vote des deux sociétés. </w:t>
      </w:r>
      <w:r w:rsidRPr="001446EF">
        <w:rPr>
          <w:rFonts w:ascii="Trebuchet MS" w:hAnsi="Trebuchet MS"/>
          <w:iCs/>
          <w:color w:val="000000"/>
          <w:spacing w:val="-4"/>
          <w:sz w:val="20"/>
          <w:szCs w:val="23"/>
        </w:rPr>
        <w:t>» (C. com., art. L. 822-9, al. 2)</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9 - Transmission des parts</w:t>
      </w:r>
    </w:p>
    <w:p w:rsidR="001446EF" w:rsidRPr="00C94D1A" w:rsidRDefault="001446EF" w:rsidP="001446EF">
      <w:pPr>
        <w:numPr>
          <w:ilvl w:val="0"/>
          <w:numId w:val="70"/>
        </w:numPr>
        <w:autoSpaceDE w:val="0"/>
        <w:autoSpaceDN w:val="0"/>
        <w:adjustRightInd w:val="0"/>
        <w:spacing w:before="120"/>
        <w:ind w:left="284" w:hanging="284"/>
        <w:jc w:val="both"/>
        <w:rPr>
          <w:rFonts w:ascii="Trebuchet MS" w:hAnsi="Trebuchet MS"/>
          <w:iCs/>
          <w:spacing w:val="-6"/>
          <w:sz w:val="20"/>
          <w:szCs w:val="23"/>
        </w:rPr>
      </w:pPr>
      <w:r w:rsidRPr="00C94D1A">
        <w:rPr>
          <w:rFonts w:ascii="Trebuchet MS" w:hAnsi="Trebuchet MS"/>
          <w:iCs/>
          <w:spacing w:val="-4"/>
          <w:sz w:val="20"/>
          <w:szCs w:val="23"/>
        </w:rPr>
        <w:t xml:space="preserve">L’Ordonnance n°45-2138 du 19 septembre 1945, modifiée par l’Ordonnance n°2014-443 du 30 avril 2014, ne pose aucune exigence particulière quant à l’agrément </w:t>
      </w:r>
      <w:r w:rsidRPr="00C94D1A">
        <w:rPr>
          <w:rFonts w:ascii="Trebuchet MS" w:hAnsi="Trebuchet MS"/>
          <w:iCs/>
          <w:spacing w:val="-6"/>
          <w:sz w:val="20"/>
          <w:szCs w:val="23"/>
        </w:rPr>
        <w:t>des nouveaux associés des sociétés d’expertise comptable constituées sous la forme à responsabilité limitée.</w:t>
      </w:r>
    </w:p>
    <w:p w:rsidR="001446EF" w:rsidRDefault="001446EF" w:rsidP="001446EF">
      <w:pPr>
        <w:rPr>
          <w:rFonts w:ascii="Trebuchet MS" w:hAnsi="Trebuchet MS"/>
          <w:iCs/>
          <w:color w:val="000000"/>
          <w:sz w:val="20"/>
          <w:szCs w:val="23"/>
        </w:rPr>
      </w:pPr>
    </w:p>
    <w:p w:rsidR="001446EF" w:rsidRPr="001446EF" w:rsidRDefault="001446EF" w:rsidP="001446EF">
      <w:pPr>
        <w:ind w:left="284"/>
        <w:rPr>
          <w:rFonts w:ascii="Trebuchet MS" w:hAnsi="Trebuchet MS"/>
          <w:iCs/>
          <w:color w:val="000000"/>
          <w:spacing w:val="-4"/>
          <w:sz w:val="20"/>
          <w:szCs w:val="23"/>
        </w:rPr>
      </w:pPr>
      <w:r w:rsidRPr="001446EF">
        <w:rPr>
          <w:rFonts w:ascii="Trebuchet MS" w:hAnsi="Trebuchet MS"/>
          <w:iCs/>
          <w:color w:val="000000"/>
          <w:spacing w:val="-4"/>
          <w:sz w:val="20"/>
          <w:szCs w:val="23"/>
        </w:rPr>
        <w:t>Toutefois, selon l’article L. 223-14, alinéa 1er, du code de commerce, les parts sociales ne peuvent être cédées à des tiers étrangers à la société qu’avec le consentement de la majorité des associés représentant au moins la moitié des parts sociales. Le modèle de statuts proposé par le Conseil supérieur et la Compagnie nationale se borne à prévoir les conditions d’application de cet agrément légal.</w:t>
      </w:r>
    </w:p>
    <w:p w:rsidR="001446EF" w:rsidRPr="001446EF" w:rsidRDefault="001446EF" w:rsidP="001446EF">
      <w:pPr>
        <w:numPr>
          <w:ilvl w:val="0"/>
          <w:numId w:val="70"/>
        </w:numPr>
        <w:autoSpaceDE w:val="0"/>
        <w:autoSpaceDN w:val="0"/>
        <w:adjustRightInd w:val="0"/>
        <w:spacing w:before="120"/>
        <w:ind w:left="284" w:hanging="284"/>
        <w:jc w:val="both"/>
        <w:rPr>
          <w:rFonts w:ascii="Trebuchet MS" w:hAnsi="Trebuchet MS"/>
          <w:iCs/>
          <w:color w:val="000000"/>
          <w:sz w:val="20"/>
          <w:szCs w:val="23"/>
        </w:rPr>
      </w:pPr>
      <w:r w:rsidRPr="001446EF">
        <w:rPr>
          <w:rFonts w:ascii="Trebuchet MS" w:hAnsi="Trebuchet MS"/>
          <w:iCs/>
          <w:color w:val="000000"/>
          <w:sz w:val="20"/>
          <w:szCs w:val="23"/>
        </w:rPr>
        <w:t>En cas de refus d’agrément, le cédant peut, à tout moment, exercer la faculté de repentir prévue par la loi, même après la fixation du prix par expert (C. com., art. L. 223-14, al. 3).</w:t>
      </w:r>
    </w:p>
    <w:p w:rsidR="001446EF" w:rsidRPr="001446EF" w:rsidRDefault="001446EF" w:rsidP="001446EF">
      <w:pPr>
        <w:numPr>
          <w:ilvl w:val="0"/>
          <w:numId w:val="70"/>
        </w:numPr>
        <w:autoSpaceDE w:val="0"/>
        <w:autoSpaceDN w:val="0"/>
        <w:adjustRightInd w:val="0"/>
        <w:spacing w:before="120"/>
        <w:ind w:left="284" w:hanging="284"/>
        <w:jc w:val="both"/>
        <w:rPr>
          <w:rFonts w:ascii="Trebuchet MS" w:hAnsi="Trebuchet MS"/>
          <w:iCs/>
          <w:color w:val="000000"/>
          <w:sz w:val="20"/>
          <w:szCs w:val="23"/>
        </w:rPr>
      </w:pPr>
      <w:r w:rsidRPr="001446EF">
        <w:rPr>
          <w:rFonts w:ascii="Trebuchet MS" w:hAnsi="Trebuchet MS"/>
          <w:iCs/>
          <w:color w:val="000000"/>
          <w:sz w:val="20"/>
          <w:szCs w:val="23"/>
        </w:rPr>
        <w:t>« </w:t>
      </w:r>
      <w:r w:rsidRPr="001446EF">
        <w:rPr>
          <w:rFonts w:ascii="Trebuchet MS" w:hAnsi="Trebuchet MS"/>
          <w:i/>
          <w:iCs/>
          <w:color w:val="000000"/>
          <w:sz w:val="20"/>
          <w:szCs w:val="23"/>
        </w:rPr>
        <w:t>Les parts sont librement cessibles entre associés</w:t>
      </w:r>
      <w:r w:rsidRPr="001446EF">
        <w:rPr>
          <w:rFonts w:ascii="Trebuchet MS" w:hAnsi="Trebuchet MS"/>
          <w:iCs/>
          <w:color w:val="000000"/>
          <w:sz w:val="20"/>
          <w:szCs w:val="23"/>
        </w:rPr>
        <w:t> » (C. com., art. L. 223-16). Elles sont aussi « </w:t>
      </w:r>
      <w:r w:rsidRPr="001446EF">
        <w:rPr>
          <w:rFonts w:ascii="Trebuchet MS" w:hAnsi="Trebuchet MS"/>
          <w:i/>
          <w:iCs/>
          <w:color w:val="000000"/>
          <w:sz w:val="20"/>
          <w:szCs w:val="23"/>
        </w:rPr>
        <w:t>librement transmissibles par voie de succession ou en cas de liquidation de communauté de biens entre époux et librement cessibles entre conjoints et entre ascendants et descendants</w:t>
      </w:r>
      <w:r w:rsidRPr="001446EF">
        <w:rPr>
          <w:rFonts w:ascii="Trebuchet MS" w:hAnsi="Trebuchet MS"/>
          <w:iCs/>
          <w:color w:val="000000"/>
          <w:sz w:val="20"/>
          <w:szCs w:val="23"/>
        </w:rPr>
        <w:t> » (art. L. 223-13, al. 1</w:t>
      </w:r>
      <w:r w:rsidRPr="001446EF">
        <w:rPr>
          <w:rFonts w:ascii="Trebuchet MS" w:hAnsi="Trebuchet MS"/>
          <w:iCs/>
          <w:color w:val="000000"/>
          <w:sz w:val="20"/>
          <w:szCs w:val="23"/>
          <w:vertAlign w:val="superscript"/>
        </w:rPr>
        <w:t>er</w:t>
      </w:r>
      <w:r w:rsidRPr="001446EF">
        <w:rPr>
          <w:rFonts w:ascii="Trebuchet MS" w:hAnsi="Trebuchet MS"/>
          <w:iCs/>
          <w:color w:val="000000"/>
          <w:sz w:val="20"/>
          <w:szCs w:val="23"/>
        </w:rPr>
        <w:t>, du Code de commerce). Toutefois les statuts peuvent contenir une clause limitant la cessibilité et la transmissibilité des parts (C. com., art. L. 223-13, al. 2 à 4).</w:t>
      </w:r>
    </w:p>
    <w:p w:rsidR="001446EF" w:rsidRPr="001446EF" w:rsidRDefault="001446EF" w:rsidP="001446EF">
      <w:pPr>
        <w:numPr>
          <w:ilvl w:val="0"/>
          <w:numId w:val="70"/>
        </w:numPr>
        <w:autoSpaceDE w:val="0"/>
        <w:autoSpaceDN w:val="0"/>
        <w:adjustRightInd w:val="0"/>
        <w:spacing w:before="120"/>
        <w:ind w:left="284" w:hanging="284"/>
        <w:jc w:val="both"/>
        <w:rPr>
          <w:rFonts w:ascii="Trebuchet MS" w:hAnsi="Trebuchet MS"/>
          <w:iCs/>
          <w:color w:val="000000"/>
          <w:sz w:val="20"/>
          <w:szCs w:val="23"/>
        </w:rPr>
      </w:pPr>
      <w:r w:rsidRPr="001446EF">
        <w:rPr>
          <w:rFonts w:ascii="Trebuchet MS" w:hAnsi="Trebuchet MS"/>
          <w:iCs/>
          <w:color w:val="000000"/>
          <w:sz w:val="20"/>
          <w:szCs w:val="23"/>
        </w:rPr>
        <w:t>Pour le calcul de la majorité en nombre, lorsque des parts sont détenues en indivision ou démembrées entre plusieurs nus-propriétaires et usufruitiers, il y a lieu de compter comme associé chacun des co-indivisaires et des nus-propriétaires.</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12 - Prérogatives et obligations attachées aux parts sociales</w:t>
      </w:r>
    </w:p>
    <w:p w:rsidR="001446EF" w:rsidRPr="001446EF" w:rsidRDefault="001446EF" w:rsidP="001446EF">
      <w:pPr>
        <w:numPr>
          <w:ilvl w:val="0"/>
          <w:numId w:val="71"/>
        </w:numPr>
        <w:autoSpaceDE w:val="0"/>
        <w:autoSpaceDN w:val="0"/>
        <w:adjustRightInd w:val="0"/>
        <w:spacing w:before="120"/>
        <w:ind w:left="284" w:hanging="284"/>
        <w:jc w:val="both"/>
        <w:rPr>
          <w:rFonts w:ascii="Trebuchet MS" w:hAnsi="Trebuchet MS"/>
          <w:iCs/>
          <w:color w:val="000000"/>
          <w:sz w:val="20"/>
          <w:szCs w:val="23"/>
        </w:rPr>
      </w:pPr>
      <w:r w:rsidRPr="001446EF">
        <w:rPr>
          <w:rFonts w:ascii="Trebuchet MS" w:hAnsi="Trebuchet MS"/>
          <w:iCs/>
          <w:color w:val="000000"/>
          <w:sz w:val="20"/>
          <w:szCs w:val="23"/>
        </w:rPr>
        <w:t xml:space="preserve">En cas de démembrement des parts, les statuts peuvent prévoir une répartition différente des droits </w:t>
      </w:r>
      <w:r w:rsidRPr="001446EF">
        <w:rPr>
          <w:rFonts w:ascii="Trebuchet MS" w:hAnsi="Trebuchet MS"/>
          <w:iCs/>
          <w:color w:val="000000"/>
          <w:sz w:val="20"/>
          <w:szCs w:val="23"/>
        </w:rPr>
        <w:br/>
        <w:t>de vote ; ils peuvent, par exemple, attribuer le droit de vote à l'usufruitier pour les décisions ordinaires et au nu-propriétaire pour les décisions extraordinaires.</w:t>
      </w:r>
    </w:p>
    <w:p w:rsidR="001446EF" w:rsidRPr="00C94D1A" w:rsidRDefault="001446EF" w:rsidP="001446EF">
      <w:pPr>
        <w:autoSpaceDE w:val="0"/>
        <w:autoSpaceDN w:val="0"/>
        <w:adjustRightInd w:val="0"/>
        <w:spacing w:before="120"/>
        <w:ind w:left="284"/>
        <w:jc w:val="both"/>
        <w:rPr>
          <w:rFonts w:ascii="Trebuchet MS" w:hAnsi="Trebuchet MS"/>
          <w:iCs/>
          <w:sz w:val="20"/>
          <w:szCs w:val="23"/>
        </w:rPr>
      </w:pPr>
      <w:r w:rsidRPr="00C94D1A">
        <w:rPr>
          <w:rFonts w:ascii="Trebuchet MS" w:hAnsi="Trebuchet MS"/>
          <w:iCs/>
          <w:sz w:val="20"/>
          <w:szCs w:val="23"/>
        </w:rPr>
        <w:t>Dans tous les cas cependant, plus des deux tiers des droits de vote doivent être détenus, directement ou indirectement par une société inscrite à l’ordre, par les personnes mentionnées au premier alinéa de l’article 7, I, de l’Ordonnance du 19 septembre 1945, modifiée par l’Ordonnance du 30 avril 2014.</w:t>
      </w:r>
    </w:p>
    <w:p w:rsidR="001446EF" w:rsidRPr="001446EF" w:rsidRDefault="001446EF" w:rsidP="001446EF">
      <w:pPr>
        <w:autoSpaceDE w:val="0"/>
        <w:autoSpaceDN w:val="0"/>
        <w:adjustRightInd w:val="0"/>
        <w:spacing w:before="120"/>
        <w:ind w:left="284"/>
        <w:jc w:val="both"/>
        <w:rPr>
          <w:rFonts w:ascii="Trebuchet MS" w:hAnsi="Trebuchet MS"/>
          <w:iCs/>
          <w:color w:val="000000"/>
          <w:sz w:val="20"/>
          <w:szCs w:val="23"/>
        </w:rPr>
      </w:pPr>
      <w:r w:rsidRPr="001446EF">
        <w:rPr>
          <w:rFonts w:ascii="Trebuchet MS" w:hAnsi="Trebuchet MS"/>
          <w:iCs/>
          <w:color w:val="000000"/>
          <w:sz w:val="20"/>
          <w:szCs w:val="23"/>
        </w:rPr>
        <w:t>De même, les trois quarts des droits de vote des sociétés de commissaires aux comptes doivent toujours être détenus par des commissaires aux comptes ou des professionnels assimilés, conformément à l’article L. 822-9, alinéa 2, du Code de commerce.</w:t>
      </w:r>
    </w:p>
    <w:p w:rsidR="001446EF" w:rsidRPr="001446EF" w:rsidRDefault="001446EF" w:rsidP="001446EF">
      <w:pPr>
        <w:numPr>
          <w:ilvl w:val="0"/>
          <w:numId w:val="71"/>
        </w:numPr>
        <w:autoSpaceDE w:val="0"/>
        <w:autoSpaceDN w:val="0"/>
        <w:adjustRightInd w:val="0"/>
        <w:spacing w:before="120"/>
        <w:ind w:left="284" w:hanging="284"/>
        <w:jc w:val="both"/>
        <w:rPr>
          <w:rFonts w:ascii="Trebuchet MS" w:hAnsi="Trebuchet MS"/>
          <w:iCs/>
          <w:color w:val="000000"/>
          <w:sz w:val="20"/>
          <w:szCs w:val="23"/>
        </w:rPr>
      </w:pPr>
      <w:r w:rsidRPr="001446EF">
        <w:rPr>
          <w:rFonts w:ascii="Trebuchet MS" w:hAnsi="Trebuchet MS"/>
          <w:iCs/>
          <w:color w:val="000000"/>
          <w:sz w:val="20"/>
          <w:szCs w:val="23"/>
        </w:rPr>
        <w:t xml:space="preserve">Le dernier alinéa de l’article 12 rappelle le principe selon lequel les associés ne peuvent opérer </w:t>
      </w:r>
      <w:r w:rsidRPr="001446EF">
        <w:rPr>
          <w:rFonts w:ascii="Trebuchet MS" w:hAnsi="Trebuchet MS"/>
          <w:iCs/>
          <w:color w:val="000000"/>
          <w:sz w:val="20"/>
          <w:szCs w:val="23"/>
        </w:rPr>
        <w:br/>
        <w:t xml:space="preserve">un quelconque prélèvement sur l’actif social en dehors des cas prévus par la loi (distribution </w:t>
      </w:r>
      <w:r w:rsidRPr="001446EF">
        <w:rPr>
          <w:rFonts w:ascii="Trebuchet MS" w:hAnsi="Trebuchet MS"/>
          <w:iCs/>
          <w:color w:val="000000"/>
          <w:sz w:val="20"/>
          <w:szCs w:val="23"/>
        </w:rPr>
        <w:br/>
        <w:t>de dividendes, réduction de capital, liquidation, etc.). C’est une conséquence de la personnalité morale de la société.</w:t>
      </w:r>
    </w:p>
    <w:p w:rsidR="001446EF" w:rsidRPr="001446EF" w:rsidRDefault="001446EF" w:rsidP="001446EF">
      <w:pPr>
        <w:numPr>
          <w:ilvl w:val="0"/>
          <w:numId w:val="71"/>
        </w:numPr>
        <w:autoSpaceDE w:val="0"/>
        <w:autoSpaceDN w:val="0"/>
        <w:adjustRightInd w:val="0"/>
        <w:spacing w:before="120"/>
        <w:ind w:left="284" w:hanging="284"/>
        <w:jc w:val="both"/>
        <w:rPr>
          <w:rFonts w:ascii="Trebuchet MS" w:hAnsi="Trebuchet MS"/>
          <w:b/>
          <w:iCs/>
          <w:color w:val="000000"/>
          <w:sz w:val="20"/>
          <w:szCs w:val="23"/>
        </w:rPr>
      </w:pPr>
      <w:r w:rsidRPr="001446EF">
        <w:rPr>
          <w:rFonts w:ascii="Trebuchet MS" w:hAnsi="Trebuchet MS"/>
          <w:b/>
          <w:iCs/>
          <w:color w:val="000000"/>
          <w:sz w:val="20"/>
          <w:szCs w:val="23"/>
        </w:rPr>
        <w:t>Exemple de clause de non sollicitation de la clientèle :</w:t>
      </w:r>
    </w:p>
    <w:p w:rsidR="001446EF" w:rsidRPr="001446EF" w:rsidRDefault="001446EF" w:rsidP="001446EF">
      <w:pPr>
        <w:autoSpaceDE w:val="0"/>
        <w:autoSpaceDN w:val="0"/>
        <w:adjustRightInd w:val="0"/>
        <w:spacing w:before="120"/>
        <w:ind w:left="284"/>
        <w:jc w:val="both"/>
        <w:rPr>
          <w:rFonts w:ascii="Trebuchet MS" w:hAnsi="Trebuchet MS"/>
          <w:i/>
          <w:iCs/>
          <w:color w:val="000000"/>
          <w:spacing w:val="-4"/>
          <w:sz w:val="20"/>
          <w:szCs w:val="23"/>
        </w:rPr>
      </w:pPr>
      <w:r w:rsidRPr="001446EF">
        <w:rPr>
          <w:rFonts w:ascii="Trebuchet MS" w:hAnsi="Trebuchet MS"/>
          <w:i/>
          <w:iCs/>
          <w:color w:val="000000"/>
          <w:spacing w:val="-4"/>
          <w:sz w:val="20"/>
          <w:szCs w:val="23"/>
        </w:rPr>
        <w:t xml:space="preserve">Tout associé exerçant ou ayant exercé, au sein de la société, à quelque titre que ce soit, toute activité visée aux articles 2 et 22 de l’Ordonnance n°45-2138 du 19 septembre 1945, </w:t>
      </w:r>
      <w:r w:rsidRPr="00C94D1A">
        <w:rPr>
          <w:rFonts w:ascii="Trebuchet MS" w:hAnsi="Trebuchet MS"/>
          <w:i/>
          <w:iCs/>
          <w:spacing w:val="-4"/>
          <w:sz w:val="20"/>
          <w:szCs w:val="23"/>
        </w:rPr>
        <w:t xml:space="preserve">modifiée par l’Ordonnance n°2014-443 du 30 avril 2014, </w:t>
      </w:r>
      <w:r w:rsidRPr="001446EF">
        <w:rPr>
          <w:rFonts w:ascii="Trebuchet MS" w:hAnsi="Trebuchet MS"/>
          <w:i/>
          <w:iCs/>
          <w:color w:val="000000"/>
          <w:spacing w:val="-4"/>
          <w:sz w:val="20"/>
          <w:szCs w:val="23"/>
        </w:rPr>
        <w:t>s’interdit de démarcher</w:t>
      </w:r>
      <w:r w:rsidR="00C94D1A">
        <w:rPr>
          <w:rFonts w:ascii="Trebuchet MS" w:hAnsi="Trebuchet MS"/>
          <w:i/>
          <w:iCs/>
          <w:color w:val="000000"/>
          <w:spacing w:val="-4"/>
          <w:sz w:val="20"/>
          <w:szCs w:val="23"/>
        </w:rPr>
        <w:t xml:space="preserve"> </w:t>
      </w:r>
      <w:r w:rsidRPr="001446EF">
        <w:rPr>
          <w:rFonts w:ascii="Trebuchet MS" w:hAnsi="Trebuchet MS"/>
          <w:i/>
          <w:iCs/>
          <w:color w:val="000000"/>
          <w:spacing w:val="-4"/>
          <w:sz w:val="20"/>
          <w:szCs w:val="23"/>
        </w:rPr>
        <w:t>ou de solliciter, de quelque manière que ce soit, les clients de la société. Il s’interdit pareillement d’accomplir à leur profit toute prestation de même nature, à quelque titre que ce soit.</w:t>
      </w:r>
    </w:p>
    <w:p w:rsidR="001446EF" w:rsidRPr="001446EF" w:rsidRDefault="001446EF" w:rsidP="001446EF">
      <w:pPr>
        <w:autoSpaceDE w:val="0"/>
        <w:autoSpaceDN w:val="0"/>
        <w:adjustRightInd w:val="0"/>
        <w:spacing w:before="120"/>
        <w:ind w:left="284"/>
        <w:jc w:val="both"/>
        <w:rPr>
          <w:rFonts w:ascii="Trebuchet MS" w:hAnsi="Trebuchet MS"/>
          <w:i/>
          <w:iCs/>
          <w:color w:val="000000"/>
          <w:spacing w:val="-4"/>
          <w:sz w:val="20"/>
          <w:szCs w:val="23"/>
        </w:rPr>
      </w:pPr>
      <w:r w:rsidRPr="001446EF">
        <w:rPr>
          <w:rFonts w:ascii="Trebuchet MS" w:hAnsi="Trebuchet MS"/>
          <w:i/>
          <w:iCs/>
          <w:color w:val="000000"/>
          <w:spacing w:val="-4"/>
          <w:sz w:val="20"/>
          <w:szCs w:val="23"/>
        </w:rPr>
        <w:t>Par client de la société, on entend toute personne, physique ou morale, au profit de laquelle la société a accompli une ou plusieurs prestations entrant dans son objet à l’époque où l’associé exerçait son activité au sein de la société.</w:t>
      </w:r>
    </w:p>
    <w:p w:rsidR="001446EF" w:rsidRPr="001446EF" w:rsidRDefault="001446EF" w:rsidP="001446EF">
      <w:pPr>
        <w:autoSpaceDE w:val="0"/>
        <w:autoSpaceDN w:val="0"/>
        <w:adjustRightInd w:val="0"/>
        <w:spacing w:before="120"/>
        <w:ind w:left="284"/>
        <w:jc w:val="both"/>
        <w:rPr>
          <w:rFonts w:ascii="Trebuchet MS" w:hAnsi="Trebuchet MS"/>
          <w:i/>
          <w:iCs/>
          <w:color w:val="000000"/>
          <w:spacing w:val="-4"/>
          <w:sz w:val="20"/>
          <w:szCs w:val="23"/>
        </w:rPr>
      </w:pPr>
      <w:r w:rsidRPr="001446EF">
        <w:rPr>
          <w:rFonts w:ascii="Trebuchet MS" w:hAnsi="Trebuchet MS"/>
          <w:i/>
          <w:iCs/>
          <w:color w:val="000000"/>
          <w:spacing w:val="-4"/>
          <w:sz w:val="20"/>
          <w:szCs w:val="23"/>
        </w:rPr>
        <w:t xml:space="preserve">Cette interdiction prend effet dès le début de l’exercice, par l’associé, de son activité au sein de la société et prend fin </w:t>
      </w:r>
      <w:r w:rsidRPr="001446EF">
        <w:rPr>
          <w:rFonts w:ascii="Trebuchet MS" w:hAnsi="Trebuchet MS"/>
          <w:iCs/>
          <w:color w:val="000000"/>
          <w:spacing w:val="-4"/>
          <w:sz w:val="20"/>
          <w:szCs w:val="23"/>
        </w:rPr>
        <w:t>[nombre]</w:t>
      </w:r>
      <w:r w:rsidRPr="001446EF">
        <w:rPr>
          <w:rFonts w:ascii="Trebuchet MS" w:hAnsi="Trebuchet MS"/>
          <w:i/>
          <w:iCs/>
          <w:color w:val="000000"/>
          <w:spacing w:val="-4"/>
          <w:sz w:val="20"/>
          <w:szCs w:val="23"/>
        </w:rPr>
        <w:t xml:space="preserve"> mois après qu’il a cessé de faire partie de la société. Elle n’a d’effet que lorsque l’associé est établi dans un rayon de [nombre] kilomètres autour de tout bureau de la société.</w:t>
      </w:r>
    </w:p>
    <w:p w:rsidR="001446EF" w:rsidRPr="001446EF" w:rsidRDefault="001446EF" w:rsidP="001446EF">
      <w:pPr>
        <w:autoSpaceDE w:val="0"/>
        <w:autoSpaceDN w:val="0"/>
        <w:adjustRightInd w:val="0"/>
        <w:spacing w:before="120"/>
        <w:ind w:left="284"/>
        <w:jc w:val="both"/>
        <w:rPr>
          <w:rFonts w:ascii="Trebuchet MS" w:hAnsi="Trebuchet MS"/>
          <w:i/>
          <w:iCs/>
          <w:color w:val="000000"/>
          <w:spacing w:val="-4"/>
          <w:sz w:val="20"/>
          <w:szCs w:val="23"/>
        </w:rPr>
      </w:pPr>
      <w:r w:rsidRPr="001446EF">
        <w:rPr>
          <w:rFonts w:ascii="Trebuchet MS" w:hAnsi="Trebuchet MS"/>
          <w:i/>
          <w:iCs/>
          <w:color w:val="000000"/>
          <w:spacing w:val="-4"/>
          <w:sz w:val="20"/>
          <w:szCs w:val="23"/>
        </w:rPr>
        <w:t xml:space="preserve">Lorsque l’associé a la qualité de salarié de la société, celle-ci verse à celui-là une contre-partie </w:t>
      </w:r>
      <w:r w:rsidRPr="001446EF">
        <w:rPr>
          <w:rFonts w:ascii="Trebuchet MS" w:hAnsi="Trebuchet MS"/>
          <w:i/>
          <w:iCs/>
          <w:color w:val="000000"/>
          <w:spacing w:val="-4"/>
          <w:sz w:val="20"/>
          <w:szCs w:val="23"/>
        </w:rPr>
        <w:br/>
        <w:t xml:space="preserve">de </w:t>
      </w:r>
      <w:r w:rsidRPr="001446EF">
        <w:rPr>
          <w:rFonts w:ascii="Trebuchet MS" w:hAnsi="Trebuchet MS"/>
          <w:iCs/>
          <w:color w:val="000000"/>
          <w:spacing w:val="-4"/>
          <w:sz w:val="20"/>
          <w:szCs w:val="23"/>
        </w:rPr>
        <w:t>[montant]</w:t>
      </w:r>
      <w:r w:rsidRPr="001446EF">
        <w:rPr>
          <w:rFonts w:ascii="Trebuchet MS" w:hAnsi="Trebuchet MS"/>
          <w:i/>
          <w:iCs/>
          <w:color w:val="000000"/>
          <w:spacing w:val="-4"/>
          <w:sz w:val="20"/>
          <w:szCs w:val="23"/>
        </w:rPr>
        <w:t xml:space="preserve"> euros par mois, calculée, le cas échéant, prorata temporis, pendant toute la période comprise entre la date de cessation de son contrat de travail et celle à laquelle il n’est plus lié par </w:t>
      </w:r>
      <w:r w:rsidRPr="001446EF">
        <w:rPr>
          <w:rFonts w:ascii="Trebuchet MS" w:hAnsi="Trebuchet MS"/>
          <w:i/>
          <w:iCs/>
          <w:color w:val="000000"/>
          <w:spacing w:val="-4"/>
          <w:sz w:val="20"/>
          <w:szCs w:val="23"/>
        </w:rPr>
        <w:br/>
        <w:t>la présente interdiction.</w:t>
      </w:r>
    </w:p>
    <w:p w:rsidR="001446EF" w:rsidRPr="001446EF" w:rsidRDefault="001446EF" w:rsidP="001446EF">
      <w:pPr>
        <w:numPr>
          <w:ilvl w:val="0"/>
          <w:numId w:val="71"/>
        </w:numPr>
        <w:autoSpaceDE w:val="0"/>
        <w:autoSpaceDN w:val="0"/>
        <w:adjustRightInd w:val="0"/>
        <w:spacing w:before="120"/>
        <w:ind w:left="284" w:hanging="284"/>
        <w:jc w:val="both"/>
        <w:rPr>
          <w:rFonts w:ascii="Trebuchet MS" w:hAnsi="Trebuchet MS"/>
          <w:b/>
          <w:iCs/>
          <w:color w:val="000000"/>
          <w:sz w:val="20"/>
          <w:szCs w:val="23"/>
        </w:rPr>
      </w:pPr>
      <w:r w:rsidRPr="001446EF">
        <w:rPr>
          <w:rFonts w:ascii="Trebuchet MS" w:hAnsi="Trebuchet MS"/>
          <w:b/>
          <w:iCs/>
          <w:color w:val="000000"/>
          <w:sz w:val="20"/>
          <w:szCs w:val="23"/>
        </w:rPr>
        <w:t>Commentaire :</w:t>
      </w:r>
    </w:p>
    <w:p w:rsidR="001446EF" w:rsidRPr="001446EF" w:rsidRDefault="001446EF" w:rsidP="001446EF">
      <w:pPr>
        <w:autoSpaceDE w:val="0"/>
        <w:autoSpaceDN w:val="0"/>
        <w:adjustRightInd w:val="0"/>
        <w:spacing w:before="200"/>
        <w:ind w:left="284"/>
        <w:jc w:val="both"/>
        <w:rPr>
          <w:rFonts w:ascii="Trebuchet MS" w:hAnsi="Trebuchet MS"/>
          <w:iCs/>
          <w:color w:val="000000"/>
          <w:spacing w:val="-4"/>
          <w:sz w:val="20"/>
          <w:szCs w:val="23"/>
        </w:rPr>
      </w:pPr>
      <w:r w:rsidRPr="001446EF">
        <w:rPr>
          <w:rFonts w:ascii="Trebuchet MS" w:hAnsi="Trebuchet MS"/>
          <w:iCs/>
          <w:color w:val="000000"/>
          <w:spacing w:val="-4"/>
          <w:sz w:val="20"/>
          <w:szCs w:val="23"/>
        </w:rPr>
        <w:t>La clause de non sollicitation interdit à son débiteur de se lier avec une catégorie particulière de personnes attachées au créancier. Lorsqu'elle porte sur une clientèle déterminée, la clause se distingue malaisément d’avec la clause de non-concurrence (N. Dissaux, Juris-Cl. commercial, fasc. 256, n°8).</w:t>
      </w:r>
    </w:p>
    <w:p w:rsidR="001446EF" w:rsidRPr="001446EF" w:rsidRDefault="001446EF" w:rsidP="001446EF">
      <w:pPr>
        <w:autoSpaceDE w:val="0"/>
        <w:autoSpaceDN w:val="0"/>
        <w:adjustRightInd w:val="0"/>
        <w:spacing w:before="200"/>
        <w:ind w:left="284"/>
        <w:jc w:val="both"/>
        <w:rPr>
          <w:rFonts w:ascii="Trebuchet MS" w:hAnsi="Trebuchet MS"/>
          <w:iCs/>
          <w:color w:val="000000"/>
          <w:spacing w:val="-4"/>
          <w:sz w:val="20"/>
          <w:szCs w:val="23"/>
        </w:rPr>
      </w:pPr>
      <w:r w:rsidRPr="001446EF">
        <w:rPr>
          <w:rFonts w:ascii="Trebuchet MS" w:hAnsi="Trebuchet MS"/>
          <w:iCs/>
          <w:color w:val="000000"/>
          <w:spacing w:val="-4"/>
          <w:sz w:val="20"/>
          <w:szCs w:val="23"/>
        </w:rPr>
        <w:t xml:space="preserve">Il a ainsi été jugé qu’une clause contenant une interdiction de contracter directement ou indirectement avec les clients de l’employeur, y compris en l’absence de toute sollicitation ou démarchage, s’analyse </w:t>
      </w:r>
      <w:r w:rsidRPr="001446EF">
        <w:rPr>
          <w:rFonts w:ascii="Trebuchet MS" w:hAnsi="Trebuchet MS"/>
          <w:iCs/>
          <w:color w:val="000000"/>
          <w:spacing w:val="-4"/>
          <w:sz w:val="20"/>
          <w:szCs w:val="23"/>
        </w:rPr>
        <w:br/>
        <w:t>en une clause de non concurrence (Cass. soc., 27 octobre 2009 : Juris-Data n°2009-050069 ; rappr. Cass. soc., 20 décembre 2006 : Juris-Data n°2006-036675 ; Cass. soc., 12 décembre 2000, pourvoi n°98-45.939 ; C.A. Lyon, 10 septembre 2008 : Juris-Data n°2008-004153).</w:t>
      </w:r>
    </w:p>
    <w:p w:rsidR="001446EF" w:rsidRPr="001446EF" w:rsidRDefault="001446EF" w:rsidP="001446EF">
      <w:pPr>
        <w:autoSpaceDE w:val="0"/>
        <w:autoSpaceDN w:val="0"/>
        <w:adjustRightInd w:val="0"/>
        <w:spacing w:before="120"/>
        <w:ind w:left="284"/>
        <w:jc w:val="both"/>
        <w:rPr>
          <w:rFonts w:ascii="Trebuchet MS" w:hAnsi="Trebuchet MS"/>
          <w:iCs/>
          <w:color w:val="000000"/>
          <w:sz w:val="20"/>
          <w:szCs w:val="23"/>
        </w:rPr>
      </w:pPr>
      <w:r w:rsidRPr="001446EF">
        <w:rPr>
          <w:rFonts w:ascii="Trebuchet MS" w:hAnsi="Trebuchet MS"/>
          <w:iCs/>
          <w:color w:val="000000"/>
          <w:sz w:val="20"/>
          <w:szCs w:val="23"/>
        </w:rPr>
        <w:t xml:space="preserve">Pour être valable, la clause de non concurrence doit être limitée dans le temps ou dans l’espace ; </w:t>
      </w:r>
      <w:r w:rsidRPr="001446EF">
        <w:rPr>
          <w:rFonts w:ascii="Trebuchet MS" w:hAnsi="Trebuchet MS"/>
          <w:iCs/>
          <w:color w:val="000000"/>
          <w:sz w:val="20"/>
          <w:szCs w:val="23"/>
        </w:rPr>
        <w:br/>
        <w:t xml:space="preserve">elle doit, en outre, protéger les intérêts légitimes du créancier de l’obligation de non-concurrence </w:t>
      </w:r>
      <w:r w:rsidRPr="001446EF">
        <w:rPr>
          <w:rFonts w:ascii="Trebuchet MS" w:hAnsi="Trebuchet MS"/>
          <w:iCs/>
          <w:color w:val="000000"/>
          <w:sz w:val="20"/>
          <w:szCs w:val="23"/>
        </w:rPr>
        <w:br/>
        <w:t>et être proportionnée à l’objet du contrat.</w:t>
      </w:r>
    </w:p>
    <w:p w:rsidR="001446EF" w:rsidRPr="001446EF" w:rsidRDefault="001446EF" w:rsidP="001446EF">
      <w:pPr>
        <w:autoSpaceDE w:val="0"/>
        <w:autoSpaceDN w:val="0"/>
        <w:adjustRightInd w:val="0"/>
        <w:spacing w:before="120"/>
        <w:ind w:left="284"/>
        <w:jc w:val="both"/>
        <w:rPr>
          <w:rFonts w:ascii="Trebuchet MS" w:hAnsi="Trebuchet MS"/>
          <w:iCs/>
          <w:color w:val="000000"/>
          <w:sz w:val="20"/>
          <w:szCs w:val="23"/>
        </w:rPr>
      </w:pPr>
      <w:r w:rsidRPr="001446EF">
        <w:rPr>
          <w:rFonts w:ascii="Trebuchet MS" w:hAnsi="Trebuchet MS"/>
          <w:iCs/>
          <w:color w:val="000000"/>
          <w:sz w:val="20"/>
          <w:szCs w:val="23"/>
        </w:rPr>
        <w:t xml:space="preserve">En droit du travail, la validité de la clause de non concurrence est appréciée plus sévèrement ; </w:t>
      </w:r>
      <w:r w:rsidRPr="001446EF">
        <w:rPr>
          <w:rFonts w:ascii="Trebuchet MS" w:hAnsi="Trebuchet MS"/>
          <w:iCs/>
          <w:color w:val="000000"/>
          <w:sz w:val="20"/>
          <w:szCs w:val="23"/>
        </w:rPr>
        <w:br/>
        <w:t>elle « </w:t>
      </w:r>
      <w:r w:rsidRPr="001446EF">
        <w:rPr>
          <w:rFonts w:ascii="Trebuchet MS" w:hAnsi="Trebuchet MS"/>
          <w:i/>
          <w:iCs/>
          <w:color w:val="000000"/>
          <w:sz w:val="20"/>
          <w:szCs w:val="23"/>
        </w:rPr>
        <w:t xml:space="preserve">n'est licite que si elle est indispensable à la protection des intérêts légitimes de l'entreprise, limitée dans le temps et dans l'espace, qu'elle tient compte des spécificités de l'emploi du salarié </w:t>
      </w:r>
      <w:r w:rsidRPr="001446EF">
        <w:rPr>
          <w:rFonts w:ascii="Trebuchet MS" w:hAnsi="Trebuchet MS"/>
          <w:i/>
          <w:iCs/>
          <w:color w:val="000000"/>
          <w:sz w:val="20"/>
          <w:szCs w:val="23"/>
        </w:rPr>
        <w:br/>
        <w:t>et comporte l'obligation pour l'employeur de verser au salarié une contrepartie financière, ces conditions étant cumulatives</w:t>
      </w:r>
      <w:r w:rsidRPr="001446EF">
        <w:rPr>
          <w:rFonts w:ascii="Trebuchet MS" w:hAnsi="Trebuchet MS"/>
          <w:iCs/>
          <w:color w:val="000000"/>
          <w:sz w:val="20"/>
          <w:szCs w:val="23"/>
        </w:rPr>
        <w:t> » (Cass. soc., 10 juillet 2002 : J.C.P., éd. G, 2002, II, 10162, note F. Petit ; J.C.P., éd. E, 2002, 1511, note D. Corrignan-Carsin). Ces exigences s’appliquent quand bien même la clause de non concurrence serait insérée dans les statuts d’une société ou dans un pacte extra-statutaire (Cass. com., 15 mars 2011 : J.C.P., éd. G, 2011, 692, note F. Khodri ; J.C.P., éd. E, 2011, 1409, note A. Couret et B. Dondero).</w:t>
      </w:r>
    </w:p>
    <w:p w:rsidR="001446EF" w:rsidRPr="001446EF" w:rsidRDefault="001446EF" w:rsidP="001446EF">
      <w:pPr>
        <w:autoSpaceDE w:val="0"/>
        <w:autoSpaceDN w:val="0"/>
        <w:adjustRightInd w:val="0"/>
        <w:spacing w:before="120"/>
        <w:ind w:left="284"/>
        <w:jc w:val="both"/>
        <w:rPr>
          <w:rFonts w:ascii="Trebuchet MS" w:hAnsi="Trebuchet MS"/>
          <w:iCs/>
          <w:color w:val="000000"/>
          <w:sz w:val="20"/>
          <w:szCs w:val="23"/>
        </w:rPr>
      </w:pPr>
      <w:r w:rsidRPr="001446EF">
        <w:rPr>
          <w:rFonts w:ascii="Trebuchet MS" w:hAnsi="Trebuchet MS"/>
          <w:iCs/>
          <w:color w:val="000000"/>
          <w:sz w:val="20"/>
          <w:szCs w:val="23"/>
        </w:rPr>
        <w:t>La clause de non sollicitation proposée tient compte de ces exigences, qui doivent cependant être appréciées au cas par cas.</w:t>
      </w:r>
    </w:p>
    <w:p w:rsidR="001446EF" w:rsidRPr="001446EF" w:rsidRDefault="001446EF" w:rsidP="001446EF">
      <w:pPr>
        <w:numPr>
          <w:ilvl w:val="0"/>
          <w:numId w:val="71"/>
        </w:numPr>
        <w:autoSpaceDE w:val="0"/>
        <w:autoSpaceDN w:val="0"/>
        <w:adjustRightInd w:val="0"/>
        <w:spacing w:before="120"/>
        <w:ind w:left="284" w:hanging="284"/>
        <w:jc w:val="both"/>
        <w:rPr>
          <w:rFonts w:ascii="Trebuchet MS" w:hAnsi="Trebuchet MS"/>
          <w:iCs/>
          <w:color w:val="000000"/>
          <w:sz w:val="20"/>
          <w:szCs w:val="23"/>
        </w:rPr>
      </w:pPr>
      <w:r w:rsidRPr="001446EF">
        <w:rPr>
          <w:rFonts w:ascii="Trebuchet MS" w:hAnsi="Trebuchet MS"/>
          <w:iCs/>
          <w:color w:val="000000"/>
          <w:sz w:val="20"/>
          <w:szCs w:val="23"/>
        </w:rPr>
        <w:t>Il est possible de créer des parts conférant des droits financiers privilégiés. En revanche, il est interdit d’attribuer des parts conférant des droits de vote multiples ou des parts dépourvues du droit de vote.</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14 - Gérance</w:t>
      </w:r>
    </w:p>
    <w:p w:rsidR="001446EF" w:rsidRPr="00C94D1A" w:rsidRDefault="001446EF" w:rsidP="00E014CC">
      <w:pPr>
        <w:numPr>
          <w:ilvl w:val="0"/>
          <w:numId w:val="72"/>
        </w:numPr>
        <w:autoSpaceDE w:val="0"/>
        <w:autoSpaceDN w:val="0"/>
        <w:adjustRightInd w:val="0"/>
        <w:spacing w:before="120"/>
        <w:ind w:left="284" w:hanging="284"/>
        <w:jc w:val="both"/>
        <w:rPr>
          <w:rFonts w:ascii="Trebuchet MS" w:hAnsi="Trebuchet MS"/>
          <w:iCs/>
          <w:spacing w:val="-4"/>
          <w:sz w:val="20"/>
          <w:szCs w:val="23"/>
        </w:rPr>
      </w:pPr>
      <w:r w:rsidRPr="00C94D1A">
        <w:rPr>
          <w:rFonts w:ascii="Trebuchet MS" w:hAnsi="Trebuchet MS"/>
          <w:i/>
          <w:iCs/>
          <w:spacing w:val="-4"/>
          <w:sz w:val="20"/>
          <w:szCs w:val="23"/>
        </w:rPr>
        <w:t xml:space="preserve">« Les représentants légaux sont des personnes physiques mentionnées au I, membres de la société » </w:t>
      </w:r>
      <w:r w:rsidR="00F16965" w:rsidRPr="00C94D1A">
        <w:rPr>
          <w:rFonts w:ascii="Trebuchet MS" w:hAnsi="Trebuchet MS"/>
          <w:iCs/>
          <w:spacing w:val="-4"/>
          <w:sz w:val="20"/>
          <w:szCs w:val="23"/>
        </w:rPr>
        <w:t>(Ord. art.7-I-4°</w:t>
      </w:r>
      <w:r w:rsidRPr="00C94D1A">
        <w:rPr>
          <w:rFonts w:ascii="Trebuchet MS" w:hAnsi="Trebuchet MS"/>
          <w:iCs/>
          <w:spacing w:val="-4"/>
          <w:sz w:val="20"/>
          <w:szCs w:val="23"/>
        </w:rPr>
        <w:t>modifiée par l’Ordonnance du 30 avril 2014 n°2014-443)</w:t>
      </w:r>
      <w:r w:rsidR="00C94D1A">
        <w:rPr>
          <w:rFonts w:ascii="Trebuchet MS" w:hAnsi="Trebuchet MS"/>
          <w:iCs/>
          <w:spacing w:val="-4"/>
          <w:sz w:val="20"/>
          <w:szCs w:val="23"/>
        </w:rPr>
        <w:t xml:space="preserve"> </w:t>
      </w:r>
      <w:r w:rsidRPr="00C94D1A">
        <w:rPr>
          <w:rFonts w:ascii="Trebuchet MS" w:hAnsi="Trebuchet MS"/>
          <w:iCs/>
          <w:spacing w:val="-4"/>
          <w:sz w:val="20"/>
          <w:szCs w:val="23"/>
        </w:rPr>
        <w:t>De même,</w:t>
      </w:r>
      <w:r w:rsidRPr="00C94D1A">
        <w:rPr>
          <w:rFonts w:ascii="Trebuchet MS" w:hAnsi="Trebuchet MS"/>
          <w:i/>
          <w:iCs/>
          <w:spacing w:val="-4"/>
          <w:sz w:val="20"/>
          <w:szCs w:val="23"/>
        </w:rPr>
        <w:t xml:space="preserve"> « les fonctions de gérant […] sont assurées par des commissaires aux comptes</w:t>
      </w:r>
      <w:r w:rsidR="00C94D1A">
        <w:rPr>
          <w:rFonts w:ascii="Trebuchet MS" w:hAnsi="Trebuchet MS"/>
          <w:i/>
          <w:iCs/>
          <w:spacing w:val="-4"/>
          <w:sz w:val="20"/>
          <w:szCs w:val="23"/>
        </w:rPr>
        <w:t xml:space="preserve"> </w:t>
      </w:r>
      <w:r w:rsidRPr="00C94D1A">
        <w:rPr>
          <w:rFonts w:ascii="Trebuchet MS" w:hAnsi="Trebuchet MS"/>
          <w:i/>
          <w:iCs/>
          <w:spacing w:val="-4"/>
          <w:sz w:val="20"/>
          <w:szCs w:val="23"/>
        </w:rPr>
        <w:t>ou des professionnels régulièrement agréés dans un autre Etat membre de la Communauté européenne pour l’exercice du contrôle légal des comptes</w:t>
      </w:r>
      <w:r w:rsidRPr="00C94D1A">
        <w:rPr>
          <w:rFonts w:ascii="Trebuchet MS" w:hAnsi="Trebuchet MS"/>
          <w:iCs/>
          <w:spacing w:val="-4"/>
          <w:sz w:val="20"/>
          <w:szCs w:val="23"/>
        </w:rPr>
        <w:t> » (C. com., art. L. 822-9, al. 2).</w:t>
      </w:r>
    </w:p>
    <w:p w:rsidR="001446EF" w:rsidRPr="001446EF" w:rsidRDefault="001446EF" w:rsidP="001446EF">
      <w:pPr>
        <w:autoSpaceDE w:val="0"/>
        <w:autoSpaceDN w:val="0"/>
        <w:adjustRightInd w:val="0"/>
        <w:spacing w:before="120"/>
        <w:ind w:left="284"/>
        <w:jc w:val="both"/>
        <w:rPr>
          <w:rFonts w:ascii="Trebuchet MS" w:hAnsi="Trebuchet MS"/>
          <w:iCs/>
          <w:color w:val="000000"/>
          <w:spacing w:val="-4"/>
          <w:sz w:val="20"/>
          <w:szCs w:val="23"/>
        </w:rPr>
      </w:pPr>
      <w:r w:rsidRPr="001446EF">
        <w:rPr>
          <w:rFonts w:ascii="Trebuchet MS" w:hAnsi="Trebuchet MS"/>
          <w:iCs/>
          <w:color w:val="000000"/>
          <w:sz w:val="20"/>
          <w:szCs w:val="23"/>
        </w:rPr>
        <w:t xml:space="preserve">L’application cumulative de ces dispositions implique que le ou les gérants doivent </w:t>
      </w:r>
      <w:r w:rsidR="00C94D1A">
        <w:rPr>
          <w:rFonts w:ascii="Trebuchet MS" w:hAnsi="Trebuchet MS"/>
          <w:iCs/>
          <w:color w:val="000000"/>
          <w:sz w:val="20"/>
          <w:szCs w:val="23"/>
        </w:rPr>
        <w:t xml:space="preserve">respecter les conditions de l’article </w:t>
      </w:r>
      <w:r w:rsidR="00655208">
        <w:rPr>
          <w:rFonts w:ascii="Trebuchet MS" w:hAnsi="Trebuchet MS"/>
          <w:iCs/>
          <w:color w:val="000000"/>
          <w:spacing w:val="-4"/>
          <w:sz w:val="20"/>
          <w:szCs w:val="23"/>
        </w:rPr>
        <w:t xml:space="preserve">7, I, premier alinéa </w:t>
      </w:r>
      <w:r w:rsidRPr="001446EF">
        <w:rPr>
          <w:rFonts w:ascii="Trebuchet MS" w:hAnsi="Trebuchet MS"/>
          <w:iCs/>
          <w:color w:val="000000"/>
          <w:spacing w:val="-4"/>
          <w:sz w:val="20"/>
          <w:szCs w:val="23"/>
        </w:rPr>
        <w:t xml:space="preserve">et </w:t>
      </w:r>
      <w:r w:rsidR="0053526E">
        <w:rPr>
          <w:rFonts w:ascii="Trebuchet MS" w:hAnsi="Trebuchet MS"/>
          <w:iCs/>
          <w:color w:val="000000"/>
          <w:spacing w:val="-4"/>
          <w:sz w:val="20"/>
          <w:szCs w:val="23"/>
        </w:rPr>
        <w:t xml:space="preserve">être inscrits </w:t>
      </w:r>
      <w:r w:rsidRPr="001446EF">
        <w:rPr>
          <w:rFonts w:ascii="Trebuchet MS" w:hAnsi="Trebuchet MS"/>
          <w:iCs/>
          <w:color w:val="000000"/>
          <w:spacing w:val="-4"/>
          <w:sz w:val="20"/>
          <w:szCs w:val="23"/>
        </w:rPr>
        <w:t>comme commissaires aux comptes (ou être régulièrement agréés dans un autre Etat membre de la Communauté européenne pour l’exercice du contrôle légal des comptes).</w:t>
      </w:r>
    </w:p>
    <w:p w:rsidR="001446EF" w:rsidRPr="001446EF" w:rsidRDefault="001446EF" w:rsidP="001446EF">
      <w:pPr>
        <w:numPr>
          <w:ilvl w:val="0"/>
          <w:numId w:val="72"/>
        </w:numPr>
        <w:autoSpaceDE w:val="0"/>
        <w:autoSpaceDN w:val="0"/>
        <w:adjustRightInd w:val="0"/>
        <w:spacing w:before="120"/>
        <w:ind w:left="284" w:hanging="284"/>
        <w:jc w:val="both"/>
        <w:rPr>
          <w:rFonts w:ascii="Trebuchet MS" w:hAnsi="Trebuchet MS"/>
          <w:iCs/>
          <w:color w:val="000000"/>
          <w:sz w:val="20"/>
          <w:szCs w:val="23"/>
        </w:rPr>
      </w:pPr>
      <w:r w:rsidRPr="001446EF">
        <w:rPr>
          <w:rFonts w:ascii="Trebuchet MS" w:hAnsi="Trebuchet MS"/>
          <w:iCs/>
          <w:color w:val="000000"/>
          <w:sz w:val="20"/>
          <w:szCs w:val="23"/>
        </w:rPr>
        <w:t xml:space="preserve">Les gérants sont nommés dans les statuts ou par une décision ordinaire des associés. La mention </w:t>
      </w:r>
      <w:r w:rsidRPr="001446EF">
        <w:rPr>
          <w:rFonts w:ascii="Trebuchet MS" w:hAnsi="Trebuchet MS"/>
          <w:iCs/>
          <w:color w:val="000000"/>
          <w:sz w:val="20"/>
          <w:szCs w:val="23"/>
        </w:rPr>
        <w:br/>
        <w:t>du nom d’un gérant dans les statuts peut, en cas de cessation des fonctions de ce gérant pour quelque cause que ce soit, être supprimée par décision ordinaire des associés (C. com., art. L. 223-18, al. 2).</w:t>
      </w:r>
    </w:p>
    <w:p w:rsidR="001446EF" w:rsidRPr="001446EF" w:rsidRDefault="001446EF" w:rsidP="001446EF">
      <w:pPr>
        <w:numPr>
          <w:ilvl w:val="0"/>
          <w:numId w:val="72"/>
        </w:numPr>
        <w:autoSpaceDE w:val="0"/>
        <w:autoSpaceDN w:val="0"/>
        <w:adjustRightInd w:val="0"/>
        <w:spacing w:before="120"/>
        <w:ind w:left="284" w:hanging="284"/>
        <w:jc w:val="both"/>
        <w:rPr>
          <w:rFonts w:ascii="Trebuchet MS" w:hAnsi="Trebuchet MS"/>
          <w:iCs/>
          <w:color w:val="000000"/>
          <w:sz w:val="20"/>
          <w:szCs w:val="23"/>
        </w:rPr>
      </w:pPr>
      <w:r w:rsidRPr="001446EF">
        <w:rPr>
          <w:rFonts w:ascii="Trebuchet MS" w:hAnsi="Trebuchet MS"/>
          <w:iCs/>
          <w:color w:val="000000"/>
          <w:sz w:val="20"/>
          <w:szCs w:val="23"/>
        </w:rPr>
        <w:t xml:space="preserve">Le gérant peut être révoqué par décision ordinaire des associés, mais les statuts peuvent prévoir </w:t>
      </w:r>
      <w:r w:rsidRPr="001446EF">
        <w:rPr>
          <w:rFonts w:ascii="Trebuchet MS" w:hAnsi="Trebuchet MS"/>
          <w:iCs/>
          <w:color w:val="000000"/>
          <w:sz w:val="20"/>
          <w:szCs w:val="23"/>
        </w:rPr>
        <w:br/>
        <w:t>une majorité plus forte (C. com., art. L. 223-25, al. 1</w:t>
      </w:r>
      <w:r w:rsidRPr="001446EF">
        <w:rPr>
          <w:rFonts w:ascii="Trebuchet MS" w:hAnsi="Trebuchet MS"/>
          <w:iCs/>
          <w:color w:val="000000"/>
          <w:sz w:val="20"/>
          <w:szCs w:val="23"/>
          <w:vertAlign w:val="superscript"/>
        </w:rPr>
        <w:t>er</w:t>
      </w:r>
      <w:r w:rsidRPr="001446EF">
        <w:rPr>
          <w:rFonts w:ascii="Trebuchet MS" w:hAnsi="Trebuchet MS"/>
          <w:iCs/>
          <w:color w:val="000000"/>
          <w:sz w:val="20"/>
          <w:szCs w:val="23"/>
        </w:rPr>
        <w:t>).</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16 – Décisions collectives</w:t>
      </w:r>
    </w:p>
    <w:p w:rsidR="001446EF" w:rsidRPr="001446EF" w:rsidRDefault="001446EF" w:rsidP="001446EF">
      <w:pPr>
        <w:autoSpaceDE w:val="0"/>
        <w:autoSpaceDN w:val="0"/>
        <w:adjustRightInd w:val="0"/>
        <w:spacing w:before="120"/>
        <w:jc w:val="both"/>
        <w:rPr>
          <w:rFonts w:ascii="Trebuchet MS" w:hAnsi="Trebuchet MS"/>
          <w:iCs/>
          <w:color w:val="000000"/>
          <w:spacing w:val="-4"/>
          <w:sz w:val="20"/>
          <w:szCs w:val="23"/>
        </w:rPr>
      </w:pPr>
      <w:r w:rsidRPr="001446EF">
        <w:rPr>
          <w:rFonts w:ascii="Trebuchet MS" w:hAnsi="Trebuchet MS"/>
          <w:iCs/>
          <w:color w:val="000000"/>
          <w:spacing w:val="-4"/>
          <w:sz w:val="20"/>
          <w:szCs w:val="23"/>
        </w:rPr>
        <w:t>Un associé peut se faire représenter par son conjoint à moins que la société ne comprenne que les deux époux. Sauf si les associés sont au nombre de deux, un associé peut se faire représenter par un autre associé. Il ne peut se faire représenter par une autre personne que si les statuts le permettent (C. com., art. L. 223-28).</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17 – Décisions collectives ordinaires</w:t>
      </w:r>
    </w:p>
    <w:p w:rsidR="001446EF" w:rsidRPr="001446EF" w:rsidRDefault="001446EF" w:rsidP="001446EF">
      <w:pPr>
        <w:autoSpaceDE w:val="0"/>
        <w:autoSpaceDN w:val="0"/>
        <w:adjustRightInd w:val="0"/>
        <w:spacing w:before="120"/>
        <w:jc w:val="both"/>
        <w:rPr>
          <w:rFonts w:ascii="Trebuchet MS" w:hAnsi="Trebuchet MS"/>
          <w:iCs/>
          <w:color w:val="000000"/>
          <w:sz w:val="20"/>
          <w:szCs w:val="23"/>
        </w:rPr>
      </w:pPr>
      <w:r w:rsidRPr="001446EF">
        <w:rPr>
          <w:rFonts w:ascii="Trebuchet MS" w:hAnsi="Trebuchet MS"/>
          <w:iCs/>
          <w:color w:val="000000"/>
          <w:sz w:val="20"/>
          <w:szCs w:val="23"/>
        </w:rPr>
        <w:t>Les statuts peuvent prévoir une représentation plus forte que celle de la moitié des parts sociales, pour l'adoption des décisions collectives ordinaires, celle-ci ne constituant qu'un minimum légal.</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z w:val="20"/>
          <w:szCs w:val="23"/>
        </w:rPr>
      </w:pPr>
      <w:r w:rsidRPr="001446EF">
        <w:rPr>
          <w:rFonts w:ascii="Trebuchet MS" w:hAnsi="Trebuchet MS"/>
          <w:b/>
          <w:bCs/>
          <w:iCs/>
          <w:color w:val="C00000"/>
          <w:sz w:val="20"/>
          <w:szCs w:val="23"/>
        </w:rPr>
        <w:t>Article 18 – Décisions collectives extraordinaires</w:t>
      </w:r>
    </w:p>
    <w:p w:rsidR="001446EF" w:rsidRPr="001446EF" w:rsidRDefault="001446EF" w:rsidP="001446EF">
      <w:pPr>
        <w:autoSpaceDE w:val="0"/>
        <w:autoSpaceDN w:val="0"/>
        <w:adjustRightInd w:val="0"/>
        <w:spacing w:before="200"/>
        <w:jc w:val="both"/>
        <w:rPr>
          <w:rFonts w:ascii="Trebuchet MS" w:hAnsi="Trebuchet MS"/>
          <w:iCs/>
          <w:color w:val="000000"/>
          <w:sz w:val="20"/>
          <w:szCs w:val="23"/>
        </w:rPr>
      </w:pPr>
      <w:r w:rsidRPr="001446EF">
        <w:rPr>
          <w:rFonts w:ascii="Trebuchet MS" w:hAnsi="Trebuchet MS"/>
          <w:iCs/>
          <w:color w:val="000000"/>
          <w:sz w:val="20"/>
          <w:szCs w:val="23"/>
        </w:rPr>
        <w:t>« </w:t>
      </w:r>
      <w:r w:rsidRPr="001446EF">
        <w:rPr>
          <w:rFonts w:ascii="Trebuchet MS" w:hAnsi="Trebuchet MS"/>
          <w:i/>
          <w:iCs/>
          <w:color w:val="000000"/>
          <w:sz w:val="20"/>
          <w:szCs w:val="23"/>
        </w:rPr>
        <w:t>Les statuts peuvent prévoir des quorums ou une majorité plus élevés, sans pouvoir, pour cette dernière, exiger l’unanimité des associés.</w:t>
      </w:r>
      <w:r w:rsidRPr="001446EF">
        <w:rPr>
          <w:rFonts w:ascii="Trebuchet MS" w:hAnsi="Trebuchet MS"/>
          <w:iCs/>
          <w:color w:val="000000"/>
          <w:sz w:val="20"/>
          <w:szCs w:val="23"/>
        </w:rPr>
        <w:t> » (C. com., art. L. 223-30, al. 3)</w:t>
      </w:r>
    </w:p>
    <w:p w:rsidR="001446EF" w:rsidRPr="001446EF" w:rsidRDefault="001446EF" w:rsidP="001446EF">
      <w:pPr>
        <w:autoSpaceDE w:val="0"/>
        <w:autoSpaceDN w:val="0"/>
        <w:adjustRightInd w:val="0"/>
        <w:spacing w:before="240"/>
        <w:jc w:val="both"/>
        <w:outlineLvl w:val="5"/>
        <w:rPr>
          <w:rFonts w:ascii="Trebuchet MS" w:hAnsi="Trebuchet MS"/>
          <w:b/>
          <w:bCs/>
          <w:iCs/>
          <w:color w:val="C00000"/>
          <w:spacing w:val="-4"/>
          <w:sz w:val="20"/>
          <w:szCs w:val="23"/>
        </w:rPr>
      </w:pPr>
      <w:r w:rsidRPr="001446EF">
        <w:rPr>
          <w:rFonts w:ascii="Trebuchet MS" w:hAnsi="Trebuchet MS"/>
          <w:b/>
          <w:bCs/>
          <w:iCs/>
          <w:color w:val="C00000"/>
          <w:spacing w:val="-4"/>
          <w:sz w:val="20"/>
          <w:szCs w:val="23"/>
        </w:rPr>
        <w:t>Article 23 – Nomination du (ou des) premiers(s) gérants(s) et (éventuellement) des premiers commissaires aux comptes</w:t>
      </w:r>
    </w:p>
    <w:p w:rsidR="001446EF" w:rsidRPr="001446EF" w:rsidRDefault="001446EF" w:rsidP="001446EF">
      <w:pPr>
        <w:autoSpaceDE w:val="0"/>
        <w:autoSpaceDN w:val="0"/>
        <w:adjustRightInd w:val="0"/>
        <w:spacing w:before="200"/>
        <w:jc w:val="both"/>
        <w:rPr>
          <w:rFonts w:ascii="Trebuchet MS" w:hAnsi="Trebuchet MS"/>
          <w:iCs/>
          <w:color w:val="000000"/>
          <w:sz w:val="20"/>
          <w:szCs w:val="23"/>
        </w:rPr>
      </w:pPr>
      <w:r w:rsidRPr="001446EF">
        <w:rPr>
          <w:rFonts w:ascii="Trebuchet MS" w:hAnsi="Trebuchet MS"/>
          <w:iCs/>
          <w:color w:val="000000"/>
          <w:sz w:val="20"/>
          <w:szCs w:val="23"/>
        </w:rPr>
        <w:t>« </w:t>
      </w:r>
      <w:r w:rsidRPr="001446EF">
        <w:rPr>
          <w:rFonts w:ascii="Trebuchet MS" w:hAnsi="Trebuchet MS"/>
          <w:i/>
          <w:iCs/>
          <w:color w:val="000000"/>
          <w:sz w:val="20"/>
          <w:szCs w:val="23"/>
        </w:rPr>
        <w:t>Les personnes et entités astreintes à</w:t>
      </w:r>
      <w:r w:rsidR="000E0779">
        <w:rPr>
          <w:rFonts w:ascii="Trebuchet MS" w:hAnsi="Trebuchet MS"/>
          <w:i/>
          <w:iCs/>
          <w:color w:val="000000"/>
          <w:sz w:val="20"/>
          <w:szCs w:val="23"/>
        </w:rPr>
        <w:t xml:space="preserve"> publier des comptes consolidés </w:t>
      </w:r>
      <w:r w:rsidRPr="001446EF">
        <w:rPr>
          <w:rFonts w:ascii="Trebuchet MS" w:hAnsi="Trebuchet MS"/>
          <w:i/>
          <w:iCs/>
          <w:color w:val="000000"/>
          <w:sz w:val="20"/>
          <w:szCs w:val="23"/>
        </w:rPr>
        <w:t>désignent au moins deux commissaires aux comptes.</w:t>
      </w:r>
      <w:r w:rsidRPr="001446EF">
        <w:rPr>
          <w:rFonts w:ascii="Trebuchet MS" w:hAnsi="Trebuchet MS"/>
          <w:iCs/>
          <w:color w:val="000000"/>
          <w:sz w:val="20"/>
          <w:szCs w:val="23"/>
        </w:rPr>
        <w:t> »</w:t>
      </w:r>
      <w:r w:rsidRPr="001446EF">
        <w:rPr>
          <w:rFonts w:ascii="Trebuchet MS" w:hAnsi="Trebuchet MS"/>
          <w:i/>
          <w:iCs/>
          <w:color w:val="000000"/>
          <w:sz w:val="20"/>
          <w:szCs w:val="23"/>
        </w:rPr>
        <w:t xml:space="preserve"> </w:t>
      </w:r>
      <w:r w:rsidRPr="001446EF">
        <w:rPr>
          <w:rFonts w:ascii="Trebuchet MS" w:hAnsi="Trebuchet MS"/>
          <w:iCs/>
          <w:color w:val="000000"/>
          <w:sz w:val="20"/>
          <w:szCs w:val="23"/>
        </w:rPr>
        <w:t>(C. com., art. L. 823-2)</w:t>
      </w:r>
    </w:p>
    <w:bookmarkEnd w:id="4"/>
    <w:bookmarkEnd w:id="5"/>
    <w:bookmarkEnd w:id="6"/>
    <w:p w:rsidR="001446EF" w:rsidRPr="001446EF" w:rsidRDefault="001446EF" w:rsidP="00DD3C5D"/>
    <w:sectPr w:rsidR="001446EF" w:rsidRPr="001446EF" w:rsidSect="00176D70">
      <w:headerReference w:type="even" r:id="rId14"/>
      <w:headerReference w:type="default" r:id="rId15"/>
      <w:footerReference w:type="even" r:id="rId16"/>
      <w:pgSz w:w="11907" w:h="16840" w:code="9"/>
      <w:pgMar w:top="1695" w:right="1134" w:bottom="1134" w:left="1134" w:header="567" w:footer="567"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82B" w:rsidRDefault="004A782B" w:rsidP="00694219">
      <w:r>
        <w:separator/>
      </w:r>
    </w:p>
  </w:endnote>
  <w:endnote w:type="continuationSeparator" w:id="0">
    <w:p w:rsidR="004A782B" w:rsidRDefault="004A782B" w:rsidP="00694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Beatbox">
    <w:charset w:val="00"/>
    <w:family w:val="auto"/>
    <w:pitch w:val="variable"/>
    <w:sig w:usb0="00000083" w:usb1="00000000" w:usb2="00000000" w:usb3="00000000" w:csb0="00000009"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ebuchet MS" w:hAnsi="Trebuchet MS"/>
        <w:color w:val="C00000"/>
        <w:sz w:val="20"/>
      </w:rPr>
      <w:id w:val="-1233075896"/>
      <w:docPartObj>
        <w:docPartGallery w:val="Page Numbers (Bottom of Page)"/>
        <w:docPartUnique/>
      </w:docPartObj>
    </w:sdtPr>
    <w:sdtEndPr/>
    <w:sdtContent>
      <w:sdt>
        <w:sdtPr>
          <w:rPr>
            <w:rFonts w:ascii="Trebuchet MS" w:hAnsi="Trebuchet MS"/>
            <w:color w:val="C00000"/>
            <w:sz w:val="20"/>
          </w:rPr>
          <w:id w:val="1143846897"/>
          <w:docPartObj>
            <w:docPartGallery w:val="Page Numbers (Top of Page)"/>
            <w:docPartUnique/>
          </w:docPartObj>
        </w:sdtPr>
        <w:sdtEndPr/>
        <w:sdtContent>
          <w:p w:rsidR="00C21747" w:rsidRPr="00CE45D2" w:rsidRDefault="00C21747" w:rsidP="00CE45D2">
            <w:pPr>
              <w:pStyle w:val="Pieddepage"/>
              <w:jc w:val="center"/>
              <w:rPr>
                <w:rFonts w:ascii="Trebuchet MS" w:hAnsi="Trebuchet MS"/>
                <w:color w:val="C00000"/>
                <w:sz w:val="20"/>
              </w:rPr>
            </w:pPr>
            <w:r w:rsidRPr="0030032D">
              <w:rPr>
                <w:rFonts w:ascii="Trebuchet MS" w:hAnsi="Trebuchet MS"/>
                <w:color w:val="C00000"/>
                <w:sz w:val="20"/>
              </w:rPr>
              <w:t xml:space="preserve">Page </w:t>
            </w:r>
            <w:r w:rsidRPr="0030032D">
              <w:rPr>
                <w:rFonts w:ascii="Trebuchet MS" w:hAnsi="Trebuchet MS"/>
                <w:bCs/>
                <w:color w:val="C00000"/>
                <w:sz w:val="20"/>
              </w:rPr>
              <w:fldChar w:fldCharType="begin"/>
            </w:r>
            <w:r w:rsidRPr="0030032D">
              <w:rPr>
                <w:rFonts w:ascii="Trebuchet MS" w:hAnsi="Trebuchet MS"/>
                <w:bCs/>
                <w:color w:val="C00000"/>
                <w:sz w:val="20"/>
              </w:rPr>
              <w:instrText>PAGE</w:instrText>
            </w:r>
            <w:r w:rsidRPr="0030032D">
              <w:rPr>
                <w:rFonts w:ascii="Trebuchet MS" w:hAnsi="Trebuchet MS"/>
                <w:bCs/>
                <w:color w:val="C00000"/>
                <w:sz w:val="20"/>
              </w:rPr>
              <w:fldChar w:fldCharType="separate"/>
            </w:r>
            <w:r>
              <w:rPr>
                <w:rFonts w:ascii="Trebuchet MS" w:hAnsi="Trebuchet MS"/>
                <w:bCs/>
                <w:noProof/>
                <w:color w:val="C00000"/>
                <w:sz w:val="20"/>
              </w:rPr>
              <w:t>180</w:t>
            </w:r>
            <w:r w:rsidRPr="0030032D">
              <w:rPr>
                <w:rFonts w:ascii="Trebuchet MS" w:hAnsi="Trebuchet MS"/>
                <w:bCs/>
                <w:color w:val="C00000"/>
                <w:sz w:val="20"/>
              </w:rPr>
              <w:fldChar w:fldCharType="end"/>
            </w:r>
            <w:r w:rsidRPr="0030032D">
              <w:rPr>
                <w:rFonts w:ascii="Trebuchet MS" w:hAnsi="Trebuchet MS"/>
                <w:color w:val="C00000"/>
                <w:sz w:val="20"/>
              </w:rPr>
              <w:t xml:space="preserve"> sur </w:t>
            </w:r>
            <w:r w:rsidRPr="0030032D">
              <w:rPr>
                <w:rFonts w:ascii="Trebuchet MS" w:hAnsi="Trebuchet MS"/>
                <w:bCs/>
                <w:color w:val="C00000"/>
                <w:sz w:val="20"/>
              </w:rPr>
              <w:fldChar w:fldCharType="begin"/>
            </w:r>
            <w:r w:rsidRPr="0030032D">
              <w:rPr>
                <w:rFonts w:ascii="Trebuchet MS" w:hAnsi="Trebuchet MS"/>
                <w:bCs/>
                <w:color w:val="C00000"/>
                <w:sz w:val="20"/>
              </w:rPr>
              <w:instrText>NUMPAGES</w:instrText>
            </w:r>
            <w:r w:rsidRPr="0030032D">
              <w:rPr>
                <w:rFonts w:ascii="Trebuchet MS" w:hAnsi="Trebuchet MS"/>
                <w:bCs/>
                <w:color w:val="C00000"/>
                <w:sz w:val="20"/>
              </w:rPr>
              <w:fldChar w:fldCharType="separate"/>
            </w:r>
            <w:r w:rsidR="0069016F">
              <w:rPr>
                <w:rFonts w:ascii="Trebuchet MS" w:hAnsi="Trebuchet MS"/>
                <w:bCs/>
                <w:noProof/>
                <w:color w:val="C00000"/>
                <w:sz w:val="20"/>
              </w:rPr>
              <w:t>176</w:t>
            </w:r>
            <w:r w:rsidRPr="0030032D">
              <w:rPr>
                <w:rFonts w:ascii="Trebuchet MS" w:hAnsi="Trebuchet MS"/>
                <w:bCs/>
                <w:color w:val="C00000"/>
                <w:sz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AAE" w:rsidRDefault="00587AAE">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AAE" w:rsidRDefault="00587AAE">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ebuchet MS" w:hAnsi="Trebuchet MS"/>
        <w:color w:val="C00000"/>
        <w:spacing w:val="-4"/>
        <w:sz w:val="18"/>
      </w:rPr>
      <w:id w:val="-122700313"/>
      <w:docPartObj>
        <w:docPartGallery w:val="Page Numbers (Bottom of Page)"/>
        <w:docPartUnique/>
      </w:docPartObj>
    </w:sdtPr>
    <w:sdtEndPr/>
    <w:sdtContent>
      <w:sdt>
        <w:sdtPr>
          <w:rPr>
            <w:rFonts w:ascii="Trebuchet MS" w:hAnsi="Trebuchet MS"/>
            <w:color w:val="C00000"/>
            <w:spacing w:val="-4"/>
            <w:sz w:val="18"/>
          </w:rPr>
          <w:id w:val="-1116682528"/>
          <w:docPartObj>
            <w:docPartGallery w:val="Page Numbers (Top of Page)"/>
            <w:docPartUnique/>
          </w:docPartObj>
        </w:sdtPr>
        <w:sdtEndPr/>
        <w:sdtContent>
          <w:p w:rsidR="00C21747" w:rsidRPr="000452B0" w:rsidRDefault="00C21747" w:rsidP="000452B0">
            <w:pPr>
              <w:pStyle w:val="Pieddepage"/>
              <w:tabs>
                <w:tab w:val="clear" w:pos="4536"/>
                <w:tab w:val="clear" w:pos="9072"/>
                <w:tab w:val="left" w:pos="8222"/>
              </w:tabs>
              <w:rPr>
                <w:rFonts w:ascii="Trebuchet MS" w:hAnsi="Trebuchet MS"/>
                <w:color w:val="C00000"/>
                <w:spacing w:val="-4"/>
                <w:sz w:val="18"/>
              </w:rPr>
            </w:pPr>
            <w:r w:rsidRPr="00AE1571">
              <w:rPr>
                <w:rFonts w:ascii="Trebuchet MS" w:hAnsi="Trebuchet MS"/>
                <w:color w:val="595959" w:themeColor="text1" w:themeTint="A6"/>
                <w:spacing w:val="-4"/>
                <w:sz w:val="18"/>
              </w:rPr>
              <w:t xml:space="preserve">Annexes du Guide du </w:t>
            </w:r>
            <w:r>
              <w:rPr>
                <w:rFonts w:ascii="Trebuchet MS" w:hAnsi="Trebuchet MS"/>
                <w:color w:val="595959" w:themeColor="text1" w:themeTint="A6"/>
                <w:spacing w:val="-4"/>
                <w:sz w:val="18"/>
              </w:rPr>
              <w:t>Tableau</w:t>
            </w:r>
            <w:r w:rsidRPr="00AE1571">
              <w:rPr>
                <w:rFonts w:ascii="Trebuchet MS" w:hAnsi="Trebuchet MS"/>
                <w:color w:val="595959" w:themeColor="text1" w:themeTint="A6"/>
                <w:spacing w:val="-4"/>
                <w:sz w:val="18"/>
              </w:rPr>
              <w:t xml:space="preserve"> – Edition </w:t>
            </w:r>
            <w:r>
              <w:rPr>
                <w:rFonts w:ascii="Trebuchet MS" w:hAnsi="Trebuchet MS"/>
                <w:color w:val="595959" w:themeColor="text1" w:themeTint="A6"/>
                <w:spacing w:val="-4"/>
                <w:sz w:val="18"/>
              </w:rPr>
              <w:t>2014</w:t>
            </w:r>
            <w:r w:rsidRPr="00AE1571">
              <w:rPr>
                <w:rFonts w:ascii="Trebuchet MS" w:hAnsi="Trebuchet MS"/>
                <w:color w:val="C00000"/>
                <w:spacing w:val="-4"/>
                <w:sz w:val="18"/>
              </w:rPr>
              <w:tab/>
              <w:t xml:space="preserve">Page </w:t>
            </w:r>
            <w:r w:rsidRPr="00AE1571">
              <w:rPr>
                <w:rFonts w:ascii="Trebuchet MS" w:hAnsi="Trebuchet MS"/>
                <w:bCs/>
                <w:color w:val="C00000"/>
                <w:spacing w:val="-4"/>
                <w:sz w:val="18"/>
              </w:rPr>
              <w:fldChar w:fldCharType="begin"/>
            </w:r>
            <w:r w:rsidRPr="00AE1571">
              <w:rPr>
                <w:rFonts w:ascii="Trebuchet MS" w:hAnsi="Trebuchet MS"/>
                <w:bCs/>
                <w:color w:val="C00000"/>
                <w:spacing w:val="-4"/>
                <w:sz w:val="18"/>
              </w:rPr>
              <w:instrText>PAGE</w:instrText>
            </w:r>
            <w:r w:rsidRPr="00AE1571">
              <w:rPr>
                <w:rFonts w:ascii="Trebuchet MS" w:hAnsi="Trebuchet MS"/>
                <w:bCs/>
                <w:color w:val="C00000"/>
                <w:spacing w:val="-4"/>
                <w:sz w:val="18"/>
              </w:rPr>
              <w:fldChar w:fldCharType="separate"/>
            </w:r>
            <w:r>
              <w:rPr>
                <w:rFonts w:ascii="Trebuchet MS" w:hAnsi="Trebuchet MS"/>
                <w:bCs/>
                <w:noProof/>
                <w:color w:val="C00000"/>
                <w:spacing w:val="-4"/>
                <w:sz w:val="18"/>
              </w:rPr>
              <w:t>312</w:t>
            </w:r>
            <w:r w:rsidRPr="00AE1571">
              <w:rPr>
                <w:rFonts w:ascii="Trebuchet MS" w:hAnsi="Trebuchet MS"/>
                <w:bCs/>
                <w:color w:val="C00000"/>
                <w:spacing w:val="-4"/>
                <w:sz w:val="18"/>
              </w:rPr>
              <w:fldChar w:fldCharType="end"/>
            </w:r>
            <w:r w:rsidRPr="00AE1571">
              <w:rPr>
                <w:rFonts w:ascii="Trebuchet MS" w:hAnsi="Trebuchet MS"/>
                <w:color w:val="C00000"/>
                <w:spacing w:val="-4"/>
                <w:sz w:val="18"/>
              </w:rPr>
              <w:t xml:space="preserve"> sur </w:t>
            </w:r>
            <w:r w:rsidRPr="00AE1571">
              <w:rPr>
                <w:rFonts w:ascii="Trebuchet MS" w:hAnsi="Trebuchet MS"/>
                <w:bCs/>
                <w:color w:val="C00000"/>
                <w:spacing w:val="-4"/>
                <w:sz w:val="18"/>
              </w:rPr>
              <w:fldChar w:fldCharType="begin"/>
            </w:r>
            <w:r w:rsidRPr="00AE1571">
              <w:rPr>
                <w:rFonts w:ascii="Trebuchet MS" w:hAnsi="Trebuchet MS"/>
                <w:bCs/>
                <w:color w:val="C00000"/>
                <w:spacing w:val="-4"/>
                <w:sz w:val="18"/>
              </w:rPr>
              <w:instrText>NUMPAGES</w:instrText>
            </w:r>
            <w:r w:rsidRPr="00AE1571">
              <w:rPr>
                <w:rFonts w:ascii="Trebuchet MS" w:hAnsi="Trebuchet MS"/>
                <w:bCs/>
                <w:color w:val="C00000"/>
                <w:spacing w:val="-4"/>
                <w:sz w:val="18"/>
              </w:rPr>
              <w:fldChar w:fldCharType="separate"/>
            </w:r>
            <w:r w:rsidR="0069016F">
              <w:rPr>
                <w:rFonts w:ascii="Trebuchet MS" w:hAnsi="Trebuchet MS"/>
                <w:bCs/>
                <w:noProof/>
                <w:color w:val="C00000"/>
                <w:spacing w:val="-4"/>
                <w:sz w:val="18"/>
              </w:rPr>
              <w:t>176</w:t>
            </w:r>
            <w:r w:rsidRPr="00AE1571">
              <w:rPr>
                <w:rFonts w:ascii="Trebuchet MS" w:hAnsi="Trebuchet MS"/>
                <w:bCs/>
                <w:color w:val="C00000"/>
                <w:spacing w:val="-4"/>
                <w:sz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82B" w:rsidRDefault="004A782B" w:rsidP="00694219">
      <w:r>
        <w:separator/>
      </w:r>
    </w:p>
  </w:footnote>
  <w:footnote w:type="continuationSeparator" w:id="0">
    <w:p w:rsidR="004A782B" w:rsidRDefault="004A782B" w:rsidP="006942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747" w:rsidRPr="00C91A43" w:rsidRDefault="00C21747" w:rsidP="00800F4A">
    <w:pPr>
      <w:pStyle w:val="En-tte"/>
      <w:tabs>
        <w:tab w:val="clear" w:pos="4320"/>
        <w:tab w:val="clear" w:pos="8640"/>
        <w:tab w:val="left" w:pos="4395"/>
        <w:tab w:val="center" w:pos="5245"/>
        <w:tab w:val="left" w:pos="6804"/>
        <w:tab w:val="left" w:pos="7230"/>
        <w:tab w:val="left" w:pos="8364"/>
        <w:tab w:val="right" w:pos="10490"/>
      </w:tabs>
      <w:spacing w:line="276" w:lineRule="auto"/>
      <w:jc w:val="both"/>
      <w:rPr>
        <w:rStyle w:val="TitreAnnexe"/>
        <w:b w:val="0"/>
        <w:smallCaps/>
        <w:spacing w:val="-4"/>
        <w:sz w:val="18"/>
      </w:rPr>
    </w:pPr>
    <w:r w:rsidRPr="00C91A43">
      <w:rPr>
        <w:rStyle w:val="TitreAnnexe"/>
        <w:smallCaps/>
        <w:spacing w:val="-4"/>
      </w:rPr>
      <w:t xml:space="preserve">Exemple de statuts – </w:t>
    </w:r>
    <w:r w:rsidRPr="00C91A43">
      <w:rPr>
        <w:rStyle w:val="TitreAnnexe"/>
        <w:spacing w:val="-4"/>
        <w:sz w:val="18"/>
      </w:rPr>
      <w:t>Annexe 21</w:t>
    </w:r>
  </w:p>
  <w:p w:rsidR="00C21747" w:rsidRPr="00C91A43" w:rsidRDefault="00C21747" w:rsidP="00800F4A">
    <w:pPr>
      <w:pStyle w:val="En-tte"/>
      <w:tabs>
        <w:tab w:val="clear" w:pos="4320"/>
        <w:tab w:val="clear" w:pos="8640"/>
        <w:tab w:val="left" w:pos="4395"/>
        <w:tab w:val="center" w:pos="5245"/>
        <w:tab w:val="left" w:pos="6804"/>
        <w:tab w:val="left" w:pos="7230"/>
        <w:tab w:val="left" w:pos="8364"/>
        <w:tab w:val="right" w:pos="10490"/>
      </w:tabs>
      <w:spacing w:line="276" w:lineRule="auto"/>
      <w:jc w:val="both"/>
      <w:rPr>
        <w:rStyle w:val="TitreAnnexe"/>
        <w:b w:val="0"/>
        <w:color w:val="595959" w:themeColor="text1" w:themeTint="A6"/>
        <w:spacing w:val="-4"/>
        <w:sz w:val="18"/>
      </w:rPr>
    </w:pPr>
    <w:r w:rsidRPr="00C91A43">
      <w:rPr>
        <w:rStyle w:val="TitreAnnexe"/>
        <w:color w:val="595959" w:themeColor="text1" w:themeTint="A6"/>
        <w:spacing w:val="-4"/>
        <w:sz w:val="18"/>
      </w:rPr>
      <w:t>S.A.R.L. d’expertise comptable et de commissaires aux comptes – Modèle de statut</w:t>
    </w:r>
  </w:p>
  <w:p w:rsidR="00C21747" w:rsidRPr="00800F4A" w:rsidRDefault="00A745E6" w:rsidP="00800F4A">
    <w:pPr>
      <w:pStyle w:val="En-tte"/>
      <w:tabs>
        <w:tab w:val="clear" w:pos="8640"/>
        <w:tab w:val="right" w:pos="10490"/>
      </w:tabs>
      <w:rPr>
        <w:rFonts w:ascii="Arial" w:hAnsi="Arial" w:cs="Arial"/>
        <w:sz w:val="18"/>
        <w:szCs w:val="18"/>
      </w:rPr>
    </w:pPr>
    <w:r>
      <w:rPr>
        <w:rFonts w:ascii="Arial" w:hAnsi="Arial" w:cs="Arial"/>
        <w:sz w:val="18"/>
        <w:szCs w:val="18"/>
      </w:rPr>
      <w:pict>
        <v:rect id="_x0000_i1025" style="width:0;height:1.5pt" o:hralign="right" o:hrstd="t" o:hr="t" fillcolor="gray"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1555401"/>
      <w:docPartObj>
        <w:docPartGallery w:val="Page Numbers (Top of Page)"/>
        <w:docPartUnique/>
      </w:docPartObj>
    </w:sdtPr>
    <w:sdtEndPr/>
    <w:sdtContent>
      <w:p w:rsidR="00587AAE" w:rsidRDefault="00587AAE">
        <w:pPr>
          <w:pStyle w:val="En-tte"/>
          <w:jc w:val="right"/>
        </w:pPr>
        <w:r>
          <w:fldChar w:fldCharType="begin"/>
        </w:r>
        <w:r>
          <w:instrText>PAGE   \* MERGEFORMAT</w:instrText>
        </w:r>
        <w:r>
          <w:fldChar w:fldCharType="separate"/>
        </w:r>
        <w:r w:rsidR="00A745E6">
          <w:rPr>
            <w:noProof/>
          </w:rPr>
          <w:t>10</w:t>
        </w:r>
        <w:r>
          <w:fldChar w:fldCharType="end"/>
        </w:r>
      </w:p>
    </w:sdtContent>
  </w:sdt>
  <w:p w:rsidR="00C21747" w:rsidRPr="00CE1F17" w:rsidRDefault="00C21747" w:rsidP="00CE1F17">
    <w:pPr>
      <w:pStyle w:val="En-tte"/>
      <w:tabs>
        <w:tab w:val="clear" w:pos="8640"/>
        <w:tab w:val="right" w:pos="10490"/>
      </w:tabs>
      <w:rPr>
        <w:rFonts w:ascii="Arial" w:hAnsi="Arial" w:cs="Arial"/>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AAE" w:rsidRDefault="00587AAE">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747" w:rsidRPr="004615B6" w:rsidRDefault="00C21747" w:rsidP="006567A0">
    <w:pPr>
      <w:pStyle w:val="En-tte"/>
      <w:tabs>
        <w:tab w:val="clear" w:pos="4320"/>
        <w:tab w:val="clear" w:pos="8640"/>
        <w:tab w:val="left" w:pos="4395"/>
        <w:tab w:val="center" w:pos="5245"/>
        <w:tab w:val="left" w:pos="6804"/>
        <w:tab w:val="left" w:pos="7230"/>
        <w:tab w:val="left" w:pos="8364"/>
        <w:tab w:val="right" w:pos="10490"/>
      </w:tabs>
      <w:spacing w:line="276" w:lineRule="auto"/>
      <w:jc w:val="both"/>
      <w:rPr>
        <w:rStyle w:val="TitreAnnexe"/>
        <w:b w:val="0"/>
        <w:sz w:val="18"/>
      </w:rPr>
    </w:pPr>
    <w:r w:rsidRPr="004615B6">
      <w:rPr>
        <w:rStyle w:val="TitreAnnexe"/>
        <w:b w:val="0"/>
        <w:smallCaps/>
      </w:rPr>
      <w:t>Procédure de radiation</w:t>
    </w:r>
    <w:r w:rsidRPr="004615B6">
      <w:rPr>
        <w:rStyle w:val="TitreAnnexe"/>
        <w:b w:val="0"/>
      </w:rPr>
      <w:t xml:space="preserve"> - </w:t>
    </w:r>
    <w:r w:rsidRPr="004615B6">
      <w:rPr>
        <w:rStyle w:val="TitreAnnexe"/>
        <w:b w:val="0"/>
        <w:sz w:val="18"/>
      </w:rPr>
      <w:t>Annexe 28</w:t>
    </w:r>
  </w:p>
  <w:p w:rsidR="00C21747" w:rsidRPr="004615B6" w:rsidRDefault="00C21747" w:rsidP="006567A0">
    <w:pPr>
      <w:pStyle w:val="En-tte"/>
      <w:tabs>
        <w:tab w:val="clear" w:pos="4320"/>
        <w:tab w:val="clear" w:pos="8640"/>
        <w:tab w:val="left" w:pos="4395"/>
        <w:tab w:val="center" w:pos="5245"/>
        <w:tab w:val="left" w:pos="6804"/>
        <w:tab w:val="left" w:pos="7230"/>
        <w:tab w:val="left" w:pos="8364"/>
        <w:tab w:val="right" w:pos="10490"/>
      </w:tabs>
      <w:spacing w:line="276" w:lineRule="auto"/>
      <w:jc w:val="both"/>
      <w:rPr>
        <w:rStyle w:val="TitreAnnexe"/>
        <w:b w:val="0"/>
        <w:color w:val="595959" w:themeColor="text1" w:themeTint="A6"/>
        <w:spacing w:val="-6"/>
        <w:sz w:val="18"/>
      </w:rPr>
    </w:pPr>
    <w:r w:rsidRPr="004615B6">
      <w:rPr>
        <w:rStyle w:val="TitreAnnexe"/>
        <w:b w:val="0"/>
        <w:color w:val="595959" w:themeColor="text1" w:themeTint="A6"/>
        <w:spacing w:val="-6"/>
        <w:sz w:val="18"/>
      </w:rPr>
      <w:t>En application de l’article 125 du décret du 30 mars 2012</w:t>
    </w:r>
  </w:p>
  <w:p w:rsidR="00C21747" w:rsidRPr="006567A0" w:rsidRDefault="00A745E6" w:rsidP="006567A0">
    <w:pPr>
      <w:pStyle w:val="En-tte"/>
      <w:tabs>
        <w:tab w:val="clear" w:pos="8640"/>
        <w:tab w:val="right" w:pos="10490"/>
      </w:tabs>
      <w:rPr>
        <w:rFonts w:ascii="Arial" w:hAnsi="Arial" w:cs="Arial"/>
        <w:sz w:val="18"/>
        <w:szCs w:val="18"/>
      </w:rPr>
    </w:pPr>
    <w:r>
      <w:rPr>
        <w:rFonts w:ascii="Arial" w:hAnsi="Arial" w:cs="Arial"/>
        <w:sz w:val="18"/>
        <w:szCs w:val="18"/>
      </w:rPr>
      <w:pict>
        <v:rect id="_x0000_i1026" style="width:0;height:1.5pt" o:hralign="right" o:hrstd="t" o:hr="t" fillcolor="gray" stroked="f"/>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747" w:rsidRPr="00D87536" w:rsidRDefault="00C21747" w:rsidP="00694219">
    <w:pPr>
      <w:pStyle w:val="En-tte"/>
      <w:tabs>
        <w:tab w:val="clear" w:pos="8640"/>
        <w:tab w:val="right" w:pos="10490"/>
      </w:tabs>
      <w:rPr>
        <w:rFonts w:ascii="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C9986312"/>
    <w:lvl w:ilvl="0">
      <w:start w:val="1"/>
      <w:numFmt w:val="bullet"/>
      <w:pStyle w:val="Listepuces3"/>
      <w:lvlText w:val=""/>
      <w:lvlJc w:val="left"/>
      <w:pPr>
        <w:tabs>
          <w:tab w:val="num" w:pos="359"/>
        </w:tabs>
        <w:ind w:left="359" w:hanging="360"/>
      </w:pPr>
      <w:rPr>
        <w:rFonts w:ascii="Symbol" w:hAnsi="Symbol" w:hint="default"/>
      </w:rPr>
    </w:lvl>
  </w:abstractNum>
  <w:abstractNum w:abstractNumId="1">
    <w:nsid w:val="FFFFFF83"/>
    <w:multiLevelType w:val="singleLevel"/>
    <w:tmpl w:val="36687F28"/>
    <w:lvl w:ilvl="0">
      <w:start w:val="1"/>
      <w:numFmt w:val="bullet"/>
      <w:pStyle w:val="Listepuces2"/>
      <w:lvlText w:val=""/>
      <w:lvlJc w:val="left"/>
      <w:pPr>
        <w:tabs>
          <w:tab w:val="num" w:pos="643"/>
        </w:tabs>
        <w:ind w:left="643" w:hanging="360"/>
      </w:pPr>
      <w:rPr>
        <w:rFonts w:ascii="Symbol" w:hAnsi="Symbol" w:hint="default"/>
      </w:rPr>
    </w:lvl>
  </w:abstractNum>
  <w:abstractNum w:abstractNumId="2">
    <w:nsid w:val="00196D6B"/>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0DB0F24"/>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2397D8F"/>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46543AF"/>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50E1EC5"/>
    <w:multiLevelType w:val="hybridMultilevel"/>
    <w:tmpl w:val="9BDE236E"/>
    <w:lvl w:ilvl="0" w:tplc="966C448C">
      <w:start w:val="1"/>
      <w:numFmt w:val="decimal"/>
      <w:lvlText w:val="%1."/>
      <w:lvlJc w:val="left"/>
      <w:pPr>
        <w:ind w:left="5040"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54A140C"/>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74D4146"/>
    <w:multiLevelType w:val="hybridMultilevel"/>
    <w:tmpl w:val="B90C8CAE"/>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8315DF1"/>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08695FFD"/>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1">
    <w:nsid w:val="09250C1F"/>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09652B89"/>
    <w:multiLevelType w:val="hybridMultilevel"/>
    <w:tmpl w:val="A370A25A"/>
    <w:lvl w:ilvl="0" w:tplc="B85AD33C">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09E2513E"/>
    <w:multiLevelType w:val="hybridMultilevel"/>
    <w:tmpl w:val="DB084B5E"/>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0A9A71B5"/>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0A9F3566"/>
    <w:multiLevelType w:val="hybridMultilevel"/>
    <w:tmpl w:val="644044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0AA16A60"/>
    <w:multiLevelType w:val="hybridMultilevel"/>
    <w:tmpl w:val="403A6DAC"/>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0AE23247"/>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0FD20B5C"/>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10151FF5"/>
    <w:multiLevelType w:val="hybridMultilevel"/>
    <w:tmpl w:val="FD3A1D0E"/>
    <w:lvl w:ilvl="0" w:tplc="F5BE30E0">
      <w:start w:val="1"/>
      <w:numFmt w:val="decimal"/>
      <w:lvlText w:val="%1."/>
      <w:lvlJc w:val="left"/>
      <w:pPr>
        <w:ind w:left="5040"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10B7627A"/>
    <w:multiLevelType w:val="hybridMultilevel"/>
    <w:tmpl w:val="AFB2D5E2"/>
    <w:lvl w:ilvl="0" w:tplc="D90C5998">
      <w:start w:val="1"/>
      <w:numFmt w:val="decimal"/>
      <w:lvlText w:val="%1."/>
      <w:lvlJc w:val="left"/>
      <w:pPr>
        <w:ind w:left="5040"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1179015F"/>
    <w:multiLevelType w:val="hybridMultilevel"/>
    <w:tmpl w:val="644044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123A7D9B"/>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124C1510"/>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15C56D30"/>
    <w:multiLevelType w:val="hybridMultilevel"/>
    <w:tmpl w:val="45484008"/>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15D95B6A"/>
    <w:multiLevelType w:val="hybridMultilevel"/>
    <w:tmpl w:val="80108D26"/>
    <w:lvl w:ilvl="0" w:tplc="7C0EBA06">
      <w:numFmt w:val="bullet"/>
      <w:pStyle w:val="EnumrationNiv2"/>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165C7AA6"/>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16695E89"/>
    <w:multiLevelType w:val="hybridMultilevel"/>
    <w:tmpl w:val="7E1A2322"/>
    <w:lvl w:ilvl="0" w:tplc="39DCFC32">
      <w:numFmt w:val="bullet"/>
      <w:pStyle w:val="Remarqu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169A572F"/>
    <w:multiLevelType w:val="singleLevel"/>
    <w:tmpl w:val="C02E36A4"/>
    <w:lvl w:ilvl="0">
      <w:start w:val="1"/>
      <w:numFmt w:val="bullet"/>
      <w:lvlText w:val=""/>
      <w:lvlJc w:val="left"/>
      <w:pPr>
        <w:tabs>
          <w:tab w:val="num" w:pos="360"/>
        </w:tabs>
        <w:ind w:left="284" w:hanging="284"/>
      </w:pPr>
      <w:rPr>
        <w:rFonts w:ascii="Symbol" w:hAnsi="Symbol" w:hint="default"/>
        <w:spacing w:val="0"/>
        <w:sz w:val="20"/>
      </w:rPr>
    </w:lvl>
  </w:abstractNum>
  <w:abstractNum w:abstractNumId="29">
    <w:nsid w:val="17A12B8F"/>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189A72F5"/>
    <w:multiLevelType w:val="hybridMultilevel"/>
    <w:tmpl w:val="B880B08C"/>
    <w:lvl w:ilvl="0" w:tplc="85DA7340">
      <w:start w:val="1"/>
      <w:numFmt w:val="bullet"/>
      <w:pStyle w:val="titreremarque"/>
      <w:lvlText w:val=""/>
      <w:lvlJc w:val="left"/>
      <w:pPr>
        <w:tabs>
          <w:tab w:val="num" w:pos="360"/>
        </w:tabs>
        <w:ind w:left="360" w:hanging="360"/>
      </w:pPr>
      <w:rPr>
        <w:rFonts w:ascii="Webdings" w:hAnsi="Webdings" w:hint="default"/>
        <w:b/>
        <w:i w:val="0"/>
        <w:color w:val="C00000"/>
        <w:sz w:val="28"/>
        <w:szCs w:val="24"/>
      </w:rPr>
    </w:lvl>
    <w:lvl w:ilvl="1" w:tplc="040C0003">
      <w:start w:val="1"/>
      <w:numFmt w:val="bullet"/>
      <w:lvlText w:val=""/>
      <w:lvlJc w:val="left"/>
      <w:pPr>
        <w:tabs>
          <w:tab w:val="num" w:pos="1440"/>
        </w:tabs>
        <w:ind w:left="1440" w:hanging="360"/>
      </w:pPr>
      <w:rPr>
        <w:rFonts w:ascii="Wingdings 2" w:hAnsi="Wingdings 2" w:hint="default"/>
        <w:b/>
        <w:i w:val="0"/>
        <w:color w:val="0033CC"/>
        <w:szCs w:val="24"/>
      </w:rPr>
    </w:lvl>
    <w:lvl w:ilvl="2" w:tplc="3EA22CCA"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199109C8"/>
    <w:multiLevelType w:val="hybridMultilevel"/>
    <w:tmpl w:val="F470F4AA"/>
    <w:lvl w:ilvl="0" w:tplc="B85AD33C">
      <w:numFmt w:val="bullet"/>
      <w:lvlText w:val="-"/>
      <w:lvlJc w:val="left"/>
      <w:pPr>
        <w:ind w:left="1004" w:hanging="360"/>
      </w:pPr>
      <w:rPr>
        <w:rFonts w:ascii="Arial" w:eastAsia="Times New Roman" w:hAnsi="Arial" w:cs="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2">
    <w:nsid w:val="1A33515E"/>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1BA42AF2"/>
    <w:multiLevelType w:val="hybridMultilevel"/>
    <w:tmpl w:val="B726E4F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1C21484F"/>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1C6E6D4B"/>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36">
    <w:nsid w:val="1CEC52C8"/>
    <w:multiLevelType w:val="hybridMultilevel"/>
    <w:tmpl w:val="3438A8AA"/>
    <w:lvl w:ilvl="0" w:tplc="3AF673D6">
      <w:start w:val="12"/>
      <w:numFmt w:val="bullet"/>
      <w:lvlText w:val="-"/>
      <w:lvlJc w:val="left"/>
      <w:pPr>
        <w:ind w:left="1287" w:hanging="360"/>
      </w:pPr>
      <w:rPr>
        <w:rFonts w:ascii="Times New Roman" w:hAnsi="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7">
    <w:nsid w:val="1D35228E"/>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38">
    <w:nsid w:val="1D7C6615"/>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1DE45BFB"/>
    <w:multiLevelType w:val="hybridMultilevel"/>
    <w:tmpl w:val="F594F8EC"/>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20131EE8"/>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20ED5A93"/>
    <w:multiLevelType w:val="hybridMultilevel"/>
    <w:tmpl w:val="E09EA9D0"/>
    <w:lvl w:ilvl="0" w:tplc="FF40DD22">
      <w:start w:val="1"/>
      <w:numFmt w:val="bullet"/>
      <w:lvlText w:val=""/>
      <w:lvlJc w:val="left"/>
      <w:pPr>
        <w:tabs>
          <w:tab w:val="num" w:pos="705"/>
        </w:tabs>
        <w:ind w:left="705" w:hanging="705"/>
      </w:pPr>
      <w:rPr>
        <w:rFonts w:ascii="Wingdings" w:eastAsia="Arial Unicode M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Times New Roman" w:hint="default"/>
      </w:rPr>
    </w:lvl>
    <w:lvl w:ilvl="3" w:tplc="040C0001">
      <w:start w:val="1"/>
      <w:numFmt w:val="bullet"/>
      <w:lvlText w:val=""/>
      <w:lvlJc w:val="left"/>
      <w:pPr>
        <w:tabs>
          <w:tab w:val="num" w:pos="2520"/>
        </w:tabs>
        <w:ind w:left="2520" w:hanging="360"/>
      </w:pPr>
      <w:rPr>
        <w:rFonts w:ascii="Symbol" w:hAnsi="Symbol" w:cs="Times New Roman"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Times New Roman" w:hint="default"/>
      </w:rPr>
    </w:lvl>
    <w:lvl w:ilvl="6" w:tplc="040C0001">
      <w:start w:val="1"/>
      <w:numFmt w:val="bullet"/>
      <w:lvlText w:val=""/>
      <w:lvlJc w:val="left"/>
      <w:pPr>
        <w:tabs>
          <w:tab w:val="num" w:pos="4680"/>
        </w:tabs>
        <w:ind w:left="4680" w:hanging="360"/>
      </w:pPr>
      <w:rPr>
        <w:rFonts w:ascii="Symbol" w:hAnsi="Symbol" w:cs="Times New Roman"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Times New Roman" w:hint="default"/>
      </w:rPr>
    </w:lvl>
  </w:abstractNum>
  <w:abstractNum w:abstractNumId="42">
    <w:nsid w:val="238A271A"/>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2494059D"/>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25131250"/>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258C23F7"/>
    <w:multiLevelType w:val="hybridMultilevel"/>
    <w:tmpl w:val="03122E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25B07A5B"/>
    <w:multiLevelType w:val="hybridMultilevel"/>
    <w:tmpl w:val="644044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265307B3"/>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26967A79"/>
    <w:multiLevelType w:val="hybridMultilevel"/>
    <w:tmpl w:val="E22C508A"/>
    <w:lvl w:ilvl="0" w:tplc="040C0011">
      <w:start w:val="1"/>
      <w:numFmt w:val="decimal"/>
      <w:lvlText w:val="%1)"/>
      <w:lvlJc w:val="left"/>
      <w:pPr>
        <w:ind w:left="907" w:hanging="360"/>
      </w:pPr>
    </w:lvl>
    <w:lvl w:ilvl="1" w:tplc="040C0019" w:tentative="1">
      <w:start w:val="1"/>
      <w:numFmt w:val="lowerLetter"/>
      <w:lvlText w:val="%2."/>
      <w:lvlJc w:val="left"/>
      <w:pPr>
        <w:ind w:left="1627" w:hanging="360"/>
      </w:pPr>
    </w:lvl>
    <w:lvl w:ilvl="2" w:tplc="040C001B" w:tentative="1">
      <w:start w:val="1"/>
      <w:numFmt w:val="lowerRoman"/>
      <w:lvlText w:val="%3."/>
      <w:lvlJc w:val="right"/>
      <w:pPr>
        <w:ind w:left="2347" w:hanging="180"/>
      </w:pPr>
    </w:lvl>
    <w:lvl w:ilvl="3" w:tplc="040C000F" w:tentative="1">
      <w:start w:val="1"/>
      <w:numFmt w:val="decimal"/>
      <w:lvlText w:val="%4."/>
      <w:lvlJc w:val="left"/>
      <w:pPr>
        <w:ind w:left="3067" w:hanging="360"/>
      </w:pPr>
    </w:lvl>
    <w:lvl w:ilvl="4" w:tplc="040C0019" w:tentative="1">
      <w:start w:val="1"/>
      <w:numFmt w:val="lowerLetter"/>
      <w:lvlText w:val="%5."/>
      <w:lvlJc w:val="left"/>
      <w:pPr>
        <w:ind w:left="3787" w:hanging="360"/>
      </w:pPr>
    </w:lvl>
    <w:lvl w:ilvl="5" w:tplc="040C001B" w:tentative="1">
      <w:start w:val="1"/>
      <w:numFmt w:val="lowerRoman"/>
      <w:lvlText w:val="%6."/>
      <w:lvlJc w:val="right"/>
      <w:pPr>
        <w:ind w:left="4507" w:hanging="180"/>
      </w:pPr>
    </w:lvl>
    <w:lvl w:ilvl="6" w:tplc="040C000F" w:tentative="1">
      <w:start w:val="1"/>
      <w:numFmt w:val="decimal"/>
      <w:lvlText w:val="%7."/>
      <w:lvlJc w:val="left"/>
      <w:pPr>
        <w:ind w:left="5227" w:hanging="360"/>
      </w:pPr>
    </w:lvl>
    <w:lvl w:ilvl="7" w:tplc="040C0019" w:tentative="1">
      <w:start w:val="1"/>
      <w:numFmt w:val="lowerLetter"/>
      <w:lvlText w:val="%8."/>
      <w:lvlJc w:val="left"/>
      <w:pPr>
        <w:ind w:left="5947" w:hanging="360"/>
      </w:pPr>
    </w:lvl>
    <w:lvl w:ilvl="8" w:tplc="040C001B" w:tentative="1">
      <w:start w:val="1"/>
      <w:numFmt w:val="lowerRoman"/>
      <w:lvlText w:val="%9."/>
      <w:lvlJc w:val="right"/>
      <w:pPr>
        <w:ind w:left="6667" w:hanging="180"/>
      </w:pPr>
    </w:lvl>
  </w:abstractNum>
  <w:abstractNum w:abstractNumId="49">
    <w:nsid w:val="26F40B9F"/>
    <w:multiLevelType w:val="hybridMultilevel"/>
    <w:tmpl w:val="30A6B654"/>
    <w:lvl w:ilvl="0" w:tplc="7ECA9B00">
      <w:start w:val="1"/>
      <w:numFmt w:val="decimal"/>
      <w:lvlText w:val="%1."/>
      <w:lvlJc w:val="left"/>
      <w:pPr>
        <w:ind w:left="504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27011A96"/>
    <w:multiLevelType w:val="hybridMultilevel"/>
    <w:tmpl w:val="0C9ABA9A"/>
    <w:lvl w:ilvl="0" w:tplc="4FFE39FC">
      <w:start w:val="6"/>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51">
    <w:nsid w:val="270F2979"/>
    <w:multiLevelType w:val="hybridMultilevel"/>
    <w:tmpl w:val="867CAD0E"/>
    <w:lvl w:ilvl="0" w:tplc="040C000F">
      <w:start w:val="1"/>
      <w:numFmt w:val="decimal"/>
      <w:lvlText w:val="%1."/>
      <w:lvlJc w:val="left"/>
      <w:pPr>
        <w:ind w:left="504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nsid w:val="2756528A"/>
    <w:multiLevelType w:val="multilevel"/>
    <w:tmpl w:val="E88A9CE2"/>
    <w:lvl w:ilvl="0">
      <w:start w:val="16"/>
      <w:numFmt w:val="bullet"/>
      <w:pStyle w:val="titreexemple"/>
      <w:lvlText w:val=""/>
      <w:lvlJc w:val="left"/>
      <w:pPr>
        <w:tabs>
          <w:tab w:val="num" w:pos="1778"/>
        </w:tabs>
        <w:ind w:left="1778" w:hanging="360"/>
      </w:pPr>
      <w:rPr>
        <w:rFonts w:ascii="Webdings" w:hAnsi="Webdings" w:hint="default"/>
        <w:b/>
        <w:i w:val="0"/>
        <w:color w:val="C00000"/>
        <w:sz w:val="28"/>
        <w:szCs w:val="24"/>
      </w:rPr>
    </w:lvl>
    <w:lvl w:ilvl="1">
      <w:start w:val="1"/>
      <w:numFmt w:val="decimal"/>
      <w:suff w:val="nothing"/>
      <w:lvlText w:val="Chapitre %2"/>
      <w:lvlJc w:val="left"/>
      <w:pPr>
        <w:ind w:left="0" w:firstLine="0"/>
      </w:pPr>
      <w:rPr>
        <w:rFonts w:ascii="Trebuchet MS" w:hAnsi="Trebuchet MS" w:hint="default"/>
        <w:b/>
        <w:i w:val="0"/>
        <w:color w:val="FF6600"/>
        <w:sz w:val="22"/>
      </w:rPr>
    </w:lvl>
    <w:lvl w:ilvl="2">
      <w:start w:val="1"/>
      <w:numFmt w:val="decimal"/>
      <w:lvlText w:val="%3."/>
      <w:lvlJc w:val="left"/>
      <w:pPr>
        <w:tabs>
          <w:tab w:val="num" w:pos="284"/>
        </w:tabs>
        <w:ind w:left="0" w:firstLine="0"/>
      </w:pPr>
      <w:rPr>
        <w:rFonts w:ascii="Trebuchet MS" w:hAnsi="Trebuchet MS"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isLgl/>
      <w:lvlText w:val="%4 %3"/>
      <w:lvlJc w:val="left"/>
      <w:pPr>
        <w:tabs>
          <w:tab w:val="num" w:pos="710"/>
        </w:tabs>
        <w:ind w:left="426" w:firstLine="0"/>
      </w:pPr>
      <w:rPr>
        <w:rFonts w:ascii="Beatbox" w:hAnsi="Beatbox" w:hint="default"/>
        <w:color w:val="FF6600"/>
        <w:sz w:val="2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nsid w:val="29B40747"/>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29C40F43"/>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2A5B0FC5"/>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nsid w:val="2AB35EAE"/>
    <w:multiLevelType w:val="hybridMultilevel"/>
    <w:tmpl w:val="9300CCDC"/>
    <w:lvl w:ilvl="0" w:tplc="45E00D32">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7">
    <w:nsid w:val="2D2774B5"/>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2E3B4590"/>
    <w:multiLevelType w:val="hybridMultilevel"/>
    <w:tmpl w:val="E22C508A"/>
    <w:lvl w:ilvl="0" w:tplc="040C0011">
      <w:start w:val="1"/>
      <w:numFmt w:val="decimal"/>
      <w:lvlText w:val="%1)"/>
      <w:lvlJc w:val="left"/>
      <w:pPr>
        <w:ind w:left="907" w:hanging="360"/>
      </w:pPr>
    </w:lvl>
    <w:lvl w:ilvl="1" w:tplc="040C0019" w:tentative="1">
      <w:start w:val="1"/>
      <w:numFmt w:val="lowerLetter"/>
      <w:lvlText w:val="%2."/>
      <w:lvlJc w:val="left"/>
      <w:pPr>
        <w:ind w:left="1627" w:hanging="360"/>
      </w:pPr>
    </w:lvl>
    <w:lvl w:ilvl="2" w:tplc="040C001B" w:tentative="1">
      <w:start w:val="1"/>
      <w:numFmt w:val="lowerRoman"/>
      <w:lvlText w:val="%3."/>
      <w:lvlJc w:val="right"/>
      <w:pPr>
        <w:ind w:left="2347" w:hanging="180"/>
      </w:pPr>
    </w:lvl>
    <w:lvl w:ilvl="3" w:tplc="040C000F" w:tentative="1">
      <w:start w:val="1"/>
      <w:numFmt w:val="decimal"/>
      <w:lvlText w:val="%4."/>
      <w:lvlJc w:val="left"/>
      <w:pPr>
        <w:ind w:left="3067" w:hanging="360"/>
      </w:pPr>
    </w:lvl>
    <w:lvl w:ilvl="4" w:tplc="040C0019" w:tentative="1">
      <w:start w:val="1"/>
      <w:numFmt w:val="lowerLetter"/>
      <w:lvlText w:val="%5."/>
      <w:lvlJc w:val="left"/>
      <w:pPr>
        <w:ind w:left="3787" w:hanging="360"/>
      </w:pPr>
    </w:lvl>
    <w:lvl w:ilvl="5" w:tplc="040C001B" w:tentative="1">
      <w:start w:val="1"/>
      <w:numFmt w:val="lowerRoman"/>
      <w:lvlText w:val="%6."/>
      <w:lvlJc w:val="right"/>
      <w:pPr>
        <w:ind w:left="4507" w:hanging="180"/>
      </w:pPr>
    </w:lvl>
    <w:lvl w:ilvl="6" w:tplc="040C000F" w:tentative="1">
      <w:start w:val="1"/>
      <w:numFmt w:val="decimal"/>
      <w:lvlText w:val="%7."/>
      <w:lvlJc w:val="left"/>
      <w:pPr>
        <w:ind w:left="5227" w:hanging="360"/>
      </w:pPr>
    </w:lvl>
    <w:lvl w:ilvl="7" w:tplc="040C0019" w:tentative="1">
      <w:start w:val="1"/>
      <w:numFmt w:val="lowerLetter"/>
      <w:lvlText w:val="%8."/>
      <w:lvlJc w:val="left"/>
      <w:pPr>
        <w:ind w:left="5947" w:hanging="360"/>
      </w:pPr>
    </w:lvl>
    <w:lvl w:ilvl="8" w:tplc="040C001B" w:tentative="1">
      <w:start w:val="1"/>
      <w:numFmt w:val="lowerRoman"/>
      <w:lvlText w:val="%9."/>
      <w:lvlJc w:val="right"/>
      <w:pPr>
        <w:ind w:left="6667" w:hanging="180"/>
      </w:pPr>
    </w:lvl>
  </w:abstractNum>
  <w:abstractNum w:abstractNumId="59">
    <w:nsid w:val="2E720E51"/>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nsid w:val="2E896F7B"/>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2EAE0C0C"/>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nsid w:val="2EB50C0F"/>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2FDF4921"/>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301F468B"/>
    <w:multiLevelType w:val="hybridMultilevel"/>
    <w:tmpl w:val="E9CCC72E"/>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3070058A"/>
    <w:multiLevelType w:val="singleLevel"/>
    <w:tmpl w:val="61080E5C"/>
    <w:lvl w:ilvl="0">
      <w:start w:val="1"/>
      <w:numFmt w:val="upperLetter"/>
      <w:pStyle w:val="Listepuces"/>
      <w:lvlText w:val="%1."/>
      <w:lvlJc w:val="left"/>
      <w:pPr>
        <w:tabs>
          <w:tab w:val="num" w:pos="927"/>
        </w:tabs>
        <w:ind w:left="567" w:firstLine="0"/>
      </w:pPr>
      <w:rPr>
        <w:rFonts w:ascii="Times" w:hAnsi="Times" w:hint="default"/>
        <w:b/>
        <w:i w:val="0"/>
        <w:sz w:val="24"/>
      </w:rPr>
    </w:lvl>
  </w:abstractNum>
  <w:abstractNum w:abstractNumId="66">
    <w:nsid w:val="32301493"/>
    <w:multiLevelType w:val="hybridMultilevel"/>
    <w:tmpl w:val="319817D4"/>
    <w:lvl w:ilvl="0" w:tplc="5C0E0A5E">
      <w:start w:val="2"/>
      <w:numFmt w:val="decimal"/>
      <w:lvlText w:val="%1"/>
      <w:lvlJc w:val="left"/>
      <w:pPr>
        <w:ind w:left="5040" w:hanging="360"/>
      </w:pPr>
      <w:rPr>
        <w:rFonts w:hint="default"/>
      </w:rPr>
    </w:lvl>
    <w:lvl w:ilvl="1" w:tplc="040C0019" w:tentative="1">
      <w:start w:val="1"/>
      <w:numFmt w:val="lowerLetter"/>
      <w:lvlText w:val="%2."/>
      <w:lvlJc w:val="left"/>
      <w:pPr>
        <w:ind w:left="5760" w:hanging="360"/>
      </w:pPr>
    </w:lvl>
    <w:lvl w:ilvl="2" w:tplc="040C001B" w:tentative="1">
      <w:start w:val="1"/>
      <w:numFmt w:val="lowerRoman"/>
      <w:lvlText w:val="%3."/>
      <w:lvlJc w:val="right"/>
      <w:pPr>
        <w:ind w:left="6480" w:hanging="180"/>
      </w:pPr>
    </w:lvl>
    <w:lvl w:ilvl="3" w:tplc="040C000F" w:tentative="1">
      <w:start w:val="1"/>
      <w:numFmt w:val="decimal"/>
      <w:lvlText w:val="%4."/>
      <w:lvlJc w:val="left"/>
      <w:pPr>
        <w:ind w:left="7200" w:hanging="360"/>
      </w:pPr>
    </w:lvl>
    <w:lvl w:ilvl="4" w:tplc="040C0019" w:tentative="1">
      <w:start w:val="1"/>
      <w:numFmt w:val="lowerLetter"/>
      <w:lvlText w:val="%5."/>
      <w:lvlJc w:val="left"/>
      <w:pPr>
        <w:ind w:left="7920" w:hanging="360"/>
      </w:pPr>
    </w:lvl>
    <w:lvl w:ilvl="5" w:tplc="040C001B" w:tentative="1">
      <w:start w:val="1"/>
      <w:numFmt w:val="lowerRoman"/>
      <w:lvlText w:val="%6."/>
      <w:lvlJc w:val="right"/>
      <w:pPr>
        <w:ind w:left="8640" w:hanging="180"/>
      </w:pPr>
    </w:lvl>
    <w:lvl w:ilvl="6" w:tplc="040C000F" w:tentative="1">
      <w:start w:val="1"/>
      <w:numFmt w:val="decimal"/>
      <w:lvlText w:val="%7."/>
      <w:lvlJc w:val="left"/>
      <w:pPr>
        <w:ind w:left="9360" w:hanging="360"/>
      </w:pPr>
    </w:lvl>
    <w:lvl w:ilvl="7" w:tplc="040C0019" w:tentative="1">
      <w:start w:val="1"/>
      <w:numFmt w:val="lowerLetter"/>
      <w:lvlText w:val="%8."/>
      <w:lvlJc w:val="left"/>
      <w:pPr>
        <w:ind w:left="10080" w:hanging="360"/>
      </w:pPr>
    </w:lvl>
    <w:lvl w:ilvl="8" w:tplc="040C001B" w:tentative="1">
      <w:start w:val="1"/>
      <w:numFmt w:val="lowerRoman"/>
      <w:lvlText w:val="%9."/>
      <w:lvlJc w:val="right"/>
      <w:pPr>
        <w:ind w:left="10800" w:hanging="180"/>
      </w:pPr>
    </w:lvl>
  </w:abstractNum>
  <w:abstractNum w:abstractNumId="67">
    <w:nsid w:val="334F1D9A"/>
    <w:multiLevelType w:val="hybridMultilevel"/>
    <w:tmpl w:val="C1A8F21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33EE6943"/>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nsid w:val="357D3217"/>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70">
    <w:nsid w:val="35C8743C"/>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368E28F2"/>
    <w:multiLevelType w:val="singleLevel"/>
    <w:tmpl w:val="CCD0E52C"/>
    <w:lvl w:ilvl="0">
      <w:start w:val="1"/>
      <w:numFmt w:val="upperLetter"/>
      <w:pStyle w:val="Retraitcorpsdetexte3"/>
      <w:lvlText w:val="%1."/>
      <w:lvlJc w:val="left"/>
      <w:pPr>
        <w:tabs>
          <w:tab w:val="num" w:pos="927"/>
        </w:tabs>
        <w:ind w:left="567" w:firstLine="0"/>
      </w:pPr>
    </w:lvl>
  </w:abstractNum>
  <w:abstractNum w:abstractNumId="72">
    <w:nsid w:val="377B1FF5"/>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nsid w:val="37CD7157"/>
    <w:multiLevelType w:val="hybridMultilevel"/>
    <w:tmpl w:val="F3942FB0"/>
    <w:lvl w:ilvl="0" w:tplc="C32C0EDE">
      <w:start w:val="1"/>
      <w:numFmt w:val="decimal"/>
      <w:lvlText w:val="%1."/>
      <w:lvlJc w:val="left"/>
      <w:pPr>
        <w:ind w:left="5040" w:hanging="360"/>
      </w:pPr>
      <w:rPr>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nsid w:val="382B07DA"/>
    <w:multiLevelType w:val="hybridMultilevel"/>
    <w:tmpl w:val="D0D411E0"/>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nsid w:val="38640D33"/>
    <w:multiLevelType w:val="hybridMultilevel"/>
    <w:tmpl w:val="1010BC06"/>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nsid w:val="39104864"/>
    <w:multiLevelType w:val="hybridMultilevel"/>
    <w:tmpl w:val="C91A709E"/>
    <w:lvl w:ilvl="0" w:tplc="040C0011">
      <w:start w:val="1"/>
      <w:numFmt w:val="decimal"/>
      <w:lvlText w:val="%1)"/>
      <w:lvlJc w:val="left"/>
      <w:pPr>
        <w:tabs>
          <w:tab w:val="num" w:pos="928"/>
        </w:tabs>
        <w:ind w:left="928" w:hanging="360"/>
      </w:pPr>
      <w:rPr>
        <w:rFonts w:hint="default"/>
      </w:rPr>
    </w:lvl>
    <w:lvl w:ilvl="1" w:tplc="EE9C99B6">
      <w:start w:val="1"/>
      <w:numFmt w:val="decimal"/>
      <w:lvlText w:val="%2."/>
      <w:lvlJc w:val="left"/>
      <w:pPr>
        <w:tabs>
          <w:tab w:val="num" w:pos="1724"/>
        </w:tabs>
        <w:ind w:left="1724" w:hanging="360"/>
      </w:pPr>
      <w:rPr>
        <w:b/>
      </w:r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77">
    <w:nsid w:val="3970436E"/>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nsid w:val="3A737B7B"/>
    <w:multiLevelType w:val="hybridMultilevel"/>
    <w:tmpl w:val="F7CCE04A"/>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nsid w:val="3AC95FD2"/>
    <w:multiLevelType w:val="hybridMultilevel"/>
    <w:tmpl w:val="F3942FB0"/>
    <w:lvl w:ilvl="0" w:tplc="C32C0EDE">
      <w:start w:val="1"/>
      <w:numFmt w:val="decimal"/>
      <w:lvlText w:val="%1."/>
      <w:lvlJc w:val="left"/>
      <w:pPr>
        <w:ind w:left="5040" w:hanging="360"/>
      </w:pPr>
      <w:rPr>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nsid w:val="3AEE6BCC"/>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nsid w:val="3BC10972"/>
    <w:multiLevelType w:val="hybridMultilevel"/>
    <w:tmpl w:val="28AA8198"/>
    <w:lvl w:ilvl="0" w:tplc="040C0001">
      <w:start w:val="1"/>
      <w:numFmt w:val="bullet"/>
      <w:lvlText w:val=""/>
      <w:lvlJc w:val="left"/>
      <w:pPr>
        <w:tabs>
          <w:tab w:val="num" w:pos="1065"/>
        </w:tabs>
        <w:ind w:left="1065" w:hanging="360"/>
      </w:pPr>
      <w:rPr>
        <w:rFonts w:ascii="Symbol" w:hAnsi="Symbol"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82">
    <w:nsid w:val="3C3745F8"/>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83">
    <w:nsid w:val="3CEA1BD6"/>
    <w:multiLevelType w:val="hybridMultilevel"/>
    <w:tmpl w:val="2E609ADC"/>
    <w:lvl w:ilvl="0" w:tplc="AF362B68">
      <w:start w:val="1"/>
      <w:numFmt w:val="bullet"/>
      <w:lvlText w:val=""/>
      <w:lvlJc w:val="left"/>
      <w:pPr>
        <w:ind w:left="1854" w:hanging="360"/>
      </w:pPr>
      <w:rPr>
        <w:rFonts w:ascii="Symbol" w:hAnsi="Symbol" w:hint="default"/>
        <w:color w:val="C00000"/>
      </w:rPr>
    </w:lvl>
    <w:lvl w:ilvl="1" w:tplc="E9726950">
      <w:start w:val="1"/>
      <w:numFmt w:val="bullet"/>
      <w:lvlText w:val=""/>
      <w:lvlJc w:val="left"/>
      <w:pPr>
        <w:ind w:left="2574" w:hanging="360"/>
      </w:pPr>
      <w:rPr>
        <w:rFonts w:ascii="Symbol" w:hAnsi="Symbol" w:hint="default"/>
        <w:color w:val="C00000"/>
        <w:sz w:val="20"/>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84">
    <w:nsid w:val="3E4F0BFA"/>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nsid w:val="40360AE8"/>
    <w:multiLevelType w:val="hybridMultilevel"/>
    <w:tmpl w:val="48880B78"/>
    <w:lvl w:ilvl="0" w:tplc="B85AD33C">
      <w:numFmt w:val="bullet"/>
      <w:lvlText w:val="-"/>
      <w:lvlJc w:val="left"/>
      <w:pPr>
        <w:ind w:left="1004" w:hanging="360"/>
      </w:pPr>
      <w:rPr>
        <w:rFonts w:ascii="Arial" w:eastAsia="Times New Roman" w:hAnsi="Arial" w:cs="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6">
    <w:nsid w:val="40F70EFB"/>
    <w:multiLevelType w:val="singleLevel"/>
    <w:tmpl w:val="2CFACE6E"/>
    <w:lvl w:ilvl="0">
      <w:start w:val="12"/>
      <w:numFmt w:val="bullet"/>
      <w:pStyle w:val="Titre4c"/>
      <w:lvlText w:val="-"/>
      <w:lvlJc w:val="left"/>
      <w:pPr>
        <w:tabs>
          <w:tab w:val="num" w:pos="360"/>
        </w:tabs>
        <w:ind w:left="360" w:hanging="360"/>
      </w:pPr>
      <w:rPr>
        <w:rFonts w:ascii="Times New Roman" w:hAnsi="Times New Roman" w:hint="default"/>
      </w:rPr>
    </w:lvl>
  </w:abstractNum>
  <w:abstractNum w:abstractNumId="87">
    <w:nsid w:val="4155205F"/>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88">
    <w:nsid w:val="41A05B51"/>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nsid w:val="41F62B5F"/>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nsid w:val="4227137C"/>
    <w:multiLevelType w:val="hybridMultilevel"/>
    <w:tmpl w:val="2FBCC2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nsid w:val="4476222C"/>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2">
    <w:nsid w:val="461F66A4"/>
    <w:multiLevelType w:val="hybridMultilevel"/>
    <w:tmpl w:val="B726E4F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nsid w:val="46B9598F"/>
    <w:multiLevelType w:val="multilevel"/>
    <w:tmpl w:val="C5A4C656"/>
    <w:name w:val="annexe"/>
    <w:styleLink w:val="Annexe"/>
    <w:lvl w:ilvl="0">
      <w:start w:val="1"/>
      <w:numFmt w:val="decimal"/>
      <w:suff w:val="space"/>
      <w:lvlText w:val="Annexe %1 -"/>
      <w:lvlJc w:val="left"/>
      <w:pPr>
        <w:ind w:left="502" w:hanging="360"/>
      </w:pPr>
      <w:rPr>
        <w:rFonts w:ascii="Trebuchet MS" w:hAnsi="Trebuchet MS" w:hint="default"/>
        <w:color w:val="C00000"/>
        <w:sz w:val="2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94">
    <w:nsid w:val="47275E3B"/>
    <w:multiLevelType w:val="hybridMultilevel"/>
    <w:tmpl w:val="97C4B4DC"/>
    <w:lvl w:ilvl="0" w:tplc="B85AD33C">
      <w:numFmt w:val="bullet"/>
      <w:lvlText w:val="-"/>
      <w:lvlJc w:val="left"/>
      <w:pPr>
        <w:ind w:left="1004" w:hanging="360"/>
      </w:pPr>
      <w:rPr>
        <w:rFonts w:ascii="Arial" w:eastAsia="Times New Roman" w:hAnsi="Arial" w:cs="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5">
    <w:nsid w:val="474A1400"/>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nsid w:val="47636FAF"/>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nsid w:val="48B17524"/>
    <w:multiLevelType w:val="singleLevel"/>
    <w:tmpl w:val="C62AE960"/>
    <w:lvl w:ilvl="0">
      <w:start w:val="1"/>
      <w:numFmt w:val="upperLetter"/>
      <w:pStyle w:val="retrait5"/>
      <w:lvlText w:val="%1."/>
      <w:lvlJc w:val="left"/>
      <w:pPr>
        <w:tabs>
          <w:tab w:val="num" w:pos="927"/>
        </w:tabs>
        <w:ind w:left="567" w:firstLine="0"/>
      </w:pPr>
      <w:rPr>
        <w:rFonts w:ascii="Times" w:hAnsi="Times" w:hint="default"/>
        <w:b/>
        <w:i w:val="0"/>
        <w:sz w:val="24"/>
      </w:rPr>
    </w:lvl>
  </w:abstractNum>
  <w:abstractNum w:abstractNumId="98">
    <w:nsid w:val="4940663A"/>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nsid w:val="49632B37"/>
    <w:multiLevelType w:val="hybridMultilevel"/>
    <w:tmpl w:val="11BCAE18"/>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nsid w:val="49F33416"/>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01">
    <w:nsid w:val="4A2415F3"/>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2">
    <w:nsid w:val="4C954280"/>
    <w:multiLevelType w:val="hybridMultilevel"/>
    <w:tmpl w:val="CDC6B9C0"/>
    <w:lvl w:ilvl="0" w:tplc="7746199A">
      <w:start w:val="1"/>
      <w:numFmt w:val="upperRoman"/>
      <w:pStyle w:val="enum"/>
      <w:suff w:val="space"/>
      <w:lvlText w:val="%1 -"/>
      <w:lvlJc w:val="left"/>
      <w:pPr>
        <w:ind w:left="0" w:firstLine="0"/>
      </w:pPr>
      <w:rPr>
        <w:rFonts w:ascii="Trebuchet MS" w:hAnsi="Trebuchet MS" w:hint="default"/>
        <w:b/>
        <w:color w:val="C0000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nsid w:val="4CB5099F"/>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4">
    <w:nsid w:val="4D10241D"/>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5">
    <w:nsid w:val="4D6436E5"/>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6">
    <w:nsid w:val="4E6F4B9A"/>
    <w:multiLevelType w:val="hybridMultilevel"/>
    <w:tmpl w:val="0E2AB4B4"/>
    <w:lvl w:ilvl="0" w:tplc="B85AD33C">
      <w:numFmt w:val="bullet"/>
      <w:lvlText w:val="-"/>
      <w:lvlJc w:val="left"/>
      <w:pPr>
        <w:ind w:left="1004" w:hanging="360"/>
      </w:pPr>
      <w:rPr>
        <w:rFonts w:ascii="Arial" w:eastAsia="Times New Roman" w:hAnsi="Arial" w:cs="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07">
    <w:nsid w:val="4F081F1E"/>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8">
    <w:nsid w:val="4F5D6C2F"/>
    <w:multiLevelType w:val="hybridMultilevel"/>
    <w:tmpl w:val="380C9E02"/>
    <w:lvl w:ilvl="0" w:tplc="B85AD33C">
      <w:numFmt w:val="bullet"/>
      <w:lvlText w:val="-"/>
      <w:lvlJc w:val="left"/>
      <w:pPr>
        <w:tabs>
          <w:tab w:val="num" w:pos="720"/>
        </w:tabs>
        <w:ind w:left="720" w:hanging="360"/>
      </w:pPr>
      <w:rPr>
        <w:rFonts w:ascii="Arial" w:eastAsia="Times New Roman" w:hAnsi="Arial" w:cs="Arial" w:hint="default"/>
      </w:rPr>
    </w:lvl>
    <w:lvl w:ilvl="1" w:tplc="3710DBC0">
      <w:start w:val="1"/>
      <w:numFmt w:val="bullet"/>
      <w:lvlText w:val=""/>
      <w:lvlJc w:val="left"/>
      <w:pPr>
        <w:tabs>
          <w:tab w:val="num" w:pos="1440"/>
        </w:tabs>
        <w:ind w:left="1440" w:hanging="360"/>
      </w:pPr>
      <w:rPr>
        <w:rFonts w:ascii="Symbol" w:hAnsi="Symbol" w:hint="default"/>
        <w:color w:val="404040" w:themeColor="text1" w:themeTint="BF"/>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9">
    <w:nsid w:val="4FA252AC"/>
    <w:multiLevelType w:val="singleLevel"/>
    <w:tmpl w:val="A90E2F80"/>
    <w:lvl w:ilvl="0">
      <w:start w:val="12"/>
      <w:numFmt w:val="bullet"/>
      <w:pStyle w:val="titre4i"/>
      <w:lvlText w:val="-"/>
      <w:lvlJc w:val="left"/>
      <w:pPr>
        <w:tabs>
          <w:tab w:val="num" w:pos="360"/>
        </w:tabs>
        <w:ind w:left="360" w:hanging="360"/>
      </w:pPr>
      <w:rPr>
        <w:rFonts w:ascii="Times New Roman" w:hAnsi="Times New Roman" w:hint="default"/>
      </w:rPr>
    </w:lvl>
  </w:abstractNum>
  <w:abstractNum w:abstractNumId="110">
    <w:nsid w:val="4FD6036C"/>
    <w:multiLevelType w:val="hybridMultilevel"/>
    <w:tmpl w:val="DE4A7452"/>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1">
    <w:nsid w:val="4FEE2832"/>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2">
    <w:nsid w:val="5035550F"/>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3">
    <w:nsid w:val="50E772C2"/>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4">
    <w:nsid w:val="51AD2775"/>
    <w:multiLevelType w:val="hybridMultilevel"/>
    <w:tmpl w:val="BFBC3A82"/>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5">
    <w:nsid w:val="51C403F7"/>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6">
    <w:nsid w:val="52A67881"/>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7">
    <w:nsid w:val="53C207E9"/>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8">
    <w:nsid w:val="54190791"/>
    <w:multiLevelType w:val="multilevel"/>
    <w:tmpl w:val="DA92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54EF24BF"/>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20">
    <w:nsid w:val="570F3516"/>
    <w:multiLevelType w:val="hybridMultilevel"/>
    <w:tmpl w:val="77D4A6A8"/>
    <w:lvl w:ilvl="0" w:tplc="B85AD33C">
      <w:numFmt w:val="bullet"/>
      <w:lvlText w:val="-"/>
      <w:lvlJc w:val="left"/>
      <w:pPr>
        <w:ind w:left="5040" w:hanging="360"/>
      </w:pPr>
      <w:rPr>
        <w:rFonts w:ascii="Arial" w:eastAsia="Times New Roman" w:hAnsi="Arial" w:cs="Arial"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1">
    <w:nsid w:val="584B77B1"/>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2">
    <w:nsid w:val="58684E50"/>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23">
    <w:nsid w:val="59270245"/>
    <w:multiLevelType w:val="singleLevel"/>
    <w:tmpl w:val="3AF673D6"/>
    <w:lvl w:ilvl="0">
      <w:start w:val="12"/>
      <w:numFmt w:val="bullet"/>
      <w:lvlText w:val="-"/>
      <w:lvlJc w:val="left"/>
      <w:pPr>
        <w:tabs>
          <w:tab w:val="num" w:pos="360"/>
        </w:tabs>
        <w:ind w:left="360" w:hanging="360"/>
      </w:pPr>
      <w:rPr>
        <w:rFonts w:ascii="Times New Roman" w:hAnsi="Times New Roman" w:hint="default"/>
      </w:rPr>
    </w:lvl>
  </w:abstractNum>
  <w:abstractNum w:abstractNumId="124">
    <w:nsid w:val="5A570BB9"/>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5">
    <w:nsid w:val="5B58032B"/>
    <w:multiLevelType w:val="hybridMultilevel"/>
    <w:tmpl w:val="82020286"/>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6">
    <w:nsid w:val="5E081A64"/>
    <w:multiLevelType w:val="hybridMultilevel"/>
    <w:tmpl w:val="9BA48ECE"/>
    <w:lvl w:ilvl="0" w:tplc="5B46077C">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7">
    <w:nsid w:val="5EB91EAD"/>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8">
    <w:nsid w:val="5F0D4A55"/>
    <w:multiLevelType w:val="hybridMultilevel"/>
    <w:tmpl w:val="91EC9192"/>
    <w:lvl w:ilvl="0" w:tplc="1B481970">
      <w:start w:val="1"/>
      <w:numFmt w:val="decimal"/>
      <w:lvlText w:val="%1."/>
      <w:lvlJc w:val="left"/>
      <w:pPr>
        <w:ind w:left="5040"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9">
    <w:nsid w:val="5F9F2DB0"/>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0">
    <w:nsid w:val="6207627A"/>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1">
    <w:nsid w:val="633F3657"/>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2">
    <w:nsid w:val="63FD264D"/>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3">
    <w:nsid w:val="64BE1607"/>
    <w:multiLevelType w:val="hybridMultilevel"/>
    <w:tmpl w:val="E5C2E6FC"/>
    <w:lvl w:ilvl="0" w:tplc="E9726950">
      <w:start w:val="1"/>
      <w:numFmt w:val="bullet"/>
      <w:lvlText w:val=""/>
      <w:lvlJc w:val="left"/>
      <w:pPr>
        <w:tabs>
          <w:tab w:val="num" w:pos="360"/>
        </w:tabs>
        <w:ind w:left="360" w:hanging="360"/>
      </w:pPr>
      <w:rPr>
        <w:rFonts w:ascii="Symbol" w:hAnsi="Symbol" w:hint="default"/>
        <w:color w:val="C00000"/>
        <w:sz w:val="20"/>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Times New Roman" w:hint="default"/>
      </w:rPr>
    </w:lvl>
    <w:lvl w:ilvl="3" w:tplc="040C0001">
      <w:start w:val="1"/>
      <w:numFmt w:val="bullet"/>
      <w:lvlText w:val=""/>
      <w:lvlJc w:val="left"/>
      <w:pPr>
        <w:tabs>
          <w:tab w:val="num" w:pos="2520"/>
        </w:tabs>
        <w:ind w:left="2520" w:hanging="360"/>
      </w:pPr>
      <w:rPr>
        <w:rFonts w:ascii="Symbol" w:hAnsi="Symbol" w:cs="Times New Roman"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Times New Roman" w:hint="default"/>
      </w:rPr>
    </w:lvl>
    <w:lvl w:ilvl="6" w:tplc="040C0001">
      <w:start w:val="1"/>
      <w:numFmt w:val="bullet"/>
      <w:lvlText w:val=""/>
      <w:lvlJc w:val="left"/>
      <w:pPr>
        <w:tabs>
          <w:tab w:val="num" w:pos="4680"/>
        </w:tabs>
        <w:ind w:left="4680" w:hanging="360"/>
      </w:pPr>
      <w:rPr>
        <w:rFonts w:ascii="Symbol" w:hAnsi="Symbol" w:cs="Times New Roman"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Times New Roman" w:hint="default"/>
      </w:rPr>
    </w:lvl>
  </w:abstractNum>
  <w:abstractNum w:abstractNumId="134">
    <w:nsid w:val="64C5297E"/>
    <w:multiLevelType w:val="hybridMultilevel"/>
    <w:tmpl w:val="EA182A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5">
    <w:nsid w:val="6522058C"/>
    <w:multiLevelType w:val="hybridMultilevel"/>
    <w:tmpl w:val="F87092B8"/>
    <w:lvl w:ilvl="0" w:tplc="1550E02A">
      <w:start w:val="1"/>
      <w:numFmt w:val="bullet"/>
      <w:lvlText w:val=""/>
      <w:lvlJc w:val="left"/>
      <w:pPr>
        <w:tabs>
          <w:tab w:val="num" w:pos="360"/>
        </w:tabs>
        <w:ind w:left="360" w:hanging="360"/>
      </w:pPr>
      <w:rPr>
        <w:rFonts w:ascii="Symbol" w:hAnsi="Symbol" w:hint="default"/>
        <w:color w:val="404040" w:themeColor="text1" w:themeTint="BF"/>
        <w:sz w:val="20"/>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Times New Roman" w:hint="default"/>
      </w:rPr>
    </w:lvl>
    <w:lvl w:ilvl="3" w:tplc="040C0001">
      <w:start w:val="1"/>
      <w:numFmt w:val="bullet"/>
      <w:lvlText w:val=""/>
      <w:lvlJc w:val="left"/>
      <w:pPr>
        <w:tabs>
          <w:tab w:val="num" w:pos="2520"/>
        </w:tabs>
        <w:ind w:left="2520" w:hanging="360"/>
      </w:pPr>
      <w:rPr>
        <w:rFonts w:ascii="Symbol" w:hAnsi="Symbol" w:cs="Times New Roman"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Times New Roman" w:hint="default"/>
      </w:rPr>
    </w:lvl>
    <w:lvl w:ilvl="6" w:tplc="040C0001">
      <w:start w:val="1"/>
      <w:numFmt w:val="bullet"/>
      <w:lvlText w:val=""/>
      <w:lvlJc w:val="left"/>
      <w:pPr>
        <w:tabs>
          <w:tab w:val="num" w:pos="4680"/>
        </w:tabs>
        <w:ind w:left="4680" w:hanging="360"/>
      </w:pPr>
      <w:rPr>
        <w:rFonts w:ascii="Symbol" w:hAnsi="Symbol" w:cs="Times New Roman"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Times New Roman" w:hint="default"/>
      </w:rPr>
    </w:lvl>
  </w:abstractNum>
  <w:abstractNum w:abstractNumId="136">
    <w:nsid w:val="65234EBB"/>
    <w:multiLevelType w:val="hybridMultilevel"/>
    <w:tmpl w:val="0366A2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7ECA9B00">
      <w:start w:val="1"/>
      <w:numFmt w:val="decimal"/>
      <w:lvlText w:val="%7."/>
      <w:lvlJc w:val="left"/>
      <w:pPr>
        <w:ind w:left="5040" w:hanging="360"/>
      </w:pPr>
      <w:rPr>
        <w:b/>
      </w:r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7">
    <w:nsid w:val="657053EF"/>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8">
    <w:nsid w:val="66981153"/>
    <w:multiLevelType w:val="singleLevel"/>
    <w:tmpl w:val="1220BFBA"/>
    <w:lvl w:ilvl="0">
      <w:start w:val="1"/>
      <w:numFmt w:val="upperRoman"/>
      <w:pStyle w:val="retrait4"/>
      <w:lvlText w:val="%1."/>
      <w:lvlJc w:val="left"/>
      <w:pPr>
        <w:tabs>
          <w:tab w:val="num" w:pos="747"/>
        </w:tabs>
        <w:ind w:left="747" w:hanging="567"/>
      </w:pPr>
    </w:lvl>
  </w:abstractNum>
  <w:abstractNum w:abstractNumId="139">
    <w:nsid w:val="66C73F37"/>
    <w:multiLevelType w:val="hybridMultilevel"/>
    <w:tmpl w:val="AE04690A"/>
    <w:lvl w:ilvl="0" w:tplc="231068E2">
      <w:numFmt w:val="bullet"/>
      <w:pStyle w:val="Exempl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0">
    <w:nsid w:val="67200894"/>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1">
    <w:nsid w:val="67EE6DE1"/>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2">
    <w:nsid w:val="68414A1C"/>
    <w:multiLevelType w:val="multilevel"/>
    <w:tmpl w:val="41A4B484"/>
    <w:name w:val="CSO"/>
    <w:styleLink w:val="Numroration"/>
    <w:lvl w:ilvl="0">
      <w:start w:val="1"/>
      <w:numFmt w:val="none"/>
      <w:suff w:val="nothing"/>
      <w:lvlText w:val="%1"/>
      <w:lvlJc w:val="left"/>
      <w:pPr>
        <w:ind w:left="1134" w:firstLine="0"/>
      </w:pPr>
      <w:rPr>
        <w:rFonts w:ascii="Trebuchet MS" w:hAnsi="Trebuchet MS" w:hint="default"/>
        <w:caps/>
        <w:color w:val="808080"/>
        <w:kern w:val="0"/>
        <w:sz w:val="68"/>
        <w:u w:color="000000"/>
      </w:rPr>
    </w:lvl>
    <w:lvl w:ilvl="1">
      <w:start w:val="1"/>
      <w:numFmt w:val="decimal"/>
      <w:suff w:val="nothing"/>
      <w:lvlText w:val="TITRE %2"/>
      <w:lvlJc w:val="right"/>
      <w:pPr>
        <w:ind w:left="0" w:firstLine="0"/>
      </w:pPr>
      <w:rPr>
        <w:rFonts w:ascii="Trebuchet MS" w:hAnsi="Trebuchet MS" w:hint="default"/>
        <w:color w:val="C00000"/>
        <w:sz w:val="28"/>
      </w:rPr>
    </w:lvl>
    <w:lvl w:ilvl="2">
      <w:start w:val="1"/>
      <w:numFmt w:val="decimal"/>
      <w:suff w:val="space"/>
      <w:lvlText w:val="Chapitre %3"/>
      <w:lvlJc w:val="left"/>
      <w:pPr>
        <w:ind w:left="284" w:firstLine="0"/>
      </w:pPr>
      <w:rPr>
        <w:rFonts w:ascii="Trebuchet MS" w:hAnsi="Trebuchet MS" w:hint="default"/>
        <w:color w:val="000000"/>
        <w:sz w:val="32"/>
      </w:rPr>
    </w:lvl>
    <w:lvl w:ilvl="3">
      <w:start w:val="1"/>
      <w:numFmt w:val="decimal"/>
      <w:lvlText w:val="%4"/>
      <w:lvlJc w:val="left"/>
      <w:pPr>
        <w:tabs>
          <w:tab w:val="num" w:pos="992"/>
        </w:tabs>
        <w:ind w:left="992" w:hanging="425"/>
      </w:pPr>
      <w:rPr>
        <w:rFonts w:ascii="Trebuchet MS" w:hAnsi="Trebuchet MS" w:hint="default"/>
        <w:b/>
        <w:i w:val="0"/>
        <w:color w:val="C00000"/>
        <w:sz w:val="24"/>
      </w:rPr>
    </w:lvl>
    <w:lvl w:ilvl="4">
      <w:start w:val="1"/>
      <w:numFmt w:val="decimal"/>
      <w:lvlText w:val="%4.%5"/>
      <w:lvlJc w:val="left"/>
      <w:pPr>
        <w:tabs>
          <w:tab w:val="num" w:pos="1559"/>
        </w:tabs>
        <w:ind w:left="1559" w:hanging="567"/>
      </w:pPr>
      <w:rPr>
        <w:rFonts w:ascii="Trebuchet MS" w:hAnsi="Trebuchet MS" w:hint="default"/>
        <w:color w:val="808080"/>
        <w:sz w:val="22"/>
      </w:rPr>
    </w:lvl>
    <w:lvl w:ilvl="5">
      <w:start w:val="1"/>
      <w:numFmt w:val="decimal"/>
      <w:lvlText w:val="%4.%5.%6"/>
      <w:lvlJc w:val="left"/>
      <w:pPr>
        <w:tabs>
          <w:tab w:val="num" w:pos="2268"/>
        </w:tabs>
        <w:ind w:left="2268" w:hanging="709"/>
      </w:pPr>
      <w:rPr>
        <w:rFonts w:hint="default"/>
        <w:color w:val="BFBFBF"/>
        <w:sz w:val="20"/>
      </w:rPr>
    </w:lvl>
    <w:lvl w:ilvl="6">
      <w:start w:val="1"/>
      <w:numFmt w:val="bullet"/>
      <w:lvlText w:val=""/>
      <w:lvlJc w:val="left"/>
      <w:pPr>
        <w:ind w:left="1701" w:hanging="567"/>
      </w:pPr>
      <w:rPr>
        <w:rFonts w:ascii="Symbol" w:hAnsi="Symbol" w:hint="default"/>
        <w:color w:val="000000"/>
        <w:sz w:val="20"/>
      </w:rPr>
    </w:lvl>
    <w:lvl w:ilvl="7">
      <w:start w:val="1"/>
      <w:numFmt w:val="bullet"/>
      <w:lvlText w:val=""/>
      <w:lvlJc w:val="left"/>
      <w:pPr>
        <w:ind w:left="1701" w:hanging="567"/>
      </w:pPr>
      <w:rPr>
        <w:rFonts w:ascii="Symbol" w:hAnsi="Symbol" w:hint="default"/>
        <w:color w:val="808080"/>
        <w:sz w:val="20"/>
      </w:rPr>
    </w:lvl>
    <w:lvl w:ilvl="8">
      <w:start w:val="1"/>
      <w:numFmt w:val="bullet"/>
      <w:lvlText w:val=""/>
      <w:lvlJc w:val="left"/>
      <w:pPr>
        <w:ind w:left="1701" w:hanging="567"/>
      </w:pPr>
      <w:rPr>
        <w:rFonts w:ascii="Symbol" w:hAnsi="Symbol" w:hint="default"/>
        <w:color w:val="BFBFBF"/>
        <w:sz w:val="20"/>
      </w:rPr>
    </w:lvl>
  </w:abstractNum>
  <w:abstractNum w:abstractNumId="143">
    <w:nsid w:val="688B707D"/>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4">
    <w:nsid w:val="6B777AF1"/>
    <w:multiLevelType w:val="hybridMultilevel"/>
    <w:tmpl w:val="F3942FB0"/>
    <w:lvl w:ilvl="0" w:tplc="C32C0EDE">
      <w:start w:val="1"/>
      <w:numFmt w:val="decimal"/>
      <w:lvlText w:val="%1."/>
      <w:lvlJc w:val="left"/>
      <w:pPr>
        <w:ind w:left="5040" w:hanging="360"/>
      </w:pPr>
      <w:rPr>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5">
    <w:nsid w:val="6C7B0B99"/>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6">
    <w:nsid w:val="6CB660F9"/>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7">
    <w:nsid w:val="6DE5450B"/>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8">
    <w:nsid w:val="6E3818D7"/>
    <w:multiLevelType w:val="hybridMultilevel"/>
    <w:tmpl w:val="C63452F8"/>
    <w:lvl w:ilvl="0" w:tplc="88BE6C64">
      <w:numFmt w:val="bullet"/>
      <w:pStyle w:val="EnumrationNiv3"/>
      <w:lvlText w:val="-"/>
      <w:lvlJc w:val="left"/>
      <w:pPr>
        <w:ind w:left="720" w:hanging="360"/>
      </w:pPr>
      <w:rPr>
        <w:rFonts w:ascii="Book Antiqua" w:hAnsi="Book Antiqua" w:hint="default"/>
        <w:b w:val="0"/>
        <w:i w:val="0"/>
        <w:color w:val="C0000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9">
    <w:nsid w:val="6EFC0268"/>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0">
    <w:nsid w:val="6FA977FA"/>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1">
    <w:nsid w:val="707E7482"/>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2">
    <w:nsid w:val="71565381"/>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3">
    <w:nsid w:val="71CA1F03"/>
    <w:multiLevelType w:val="multilevel"/>
    <w:tmpl w:val="88F0DB4E"/>
    <w:lvl w:ilvl="0">
      <w:start w:val="1"/>
      <w:numFmt w:val="upperRoman"/>
      <w:pStyle w:val="titre4g"/>
      <w:lvlText w:val="%1."/>
      <w:lvlJc w:val="left"/>
      <w:pPr>
        <w:ind w:left="710" w:firstLine="0"/>
      </w:pPr>
      <w:rPr>
        <w:rFonts w:hint="default"/>
        <w:i w:val="0"/>
        <w:sz w:val="26"/>
        <w:szCs w:val="26"/>
      </w:rPr>
    </w:lvl>
    <w:lvl w:ilvl="1">
      <w:start w:val="1"/>
      <w:numFmt w:val="upperLetter"/>
      <w:lvlText w:val="%2."/>
      <w:lvlJc w:val="left"/>
      <w:pPr>
        <w:ind w:left="720" w:firstLine="0"/>
      </w:pPr>
      <w:rPr>
        <w:rFonts w:hint="default"/>
      </w:rPr>
    </w:lvl>
    <w:lvl w:ilvl="2">
      <w:start w:val="1"/>
      <w:numFmt w:val="decimal"/>
      <w:pStyle w:val="Titre5"/>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54">
    <w:nsid w:val="7207470B"/>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5">
    <w:nsid w:val="732700FE"/>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6">
    <w:nsid w:val="737D4FE8"/>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7">
    <w:nsid w:val="74C457A8"/>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8">
    <w:nsid w:val="763B1033"/>
    <w:multiLevelType w:val="hybridMultilevel"/>
    <w:tmpl w:val="1440437E"/>
    <w:lvl w:ilvl="0" w:tplc="AF362B68">
      <w:start w:val="1"/>
      <w:numFmt w:val="bullet"/>
      <w:lvlText w:val=""/>
      <w:lvlJc w:val="left"/>
      <w:pPr>
        <w:tabs>
          <w:tab w:val="num" w:pos="720"/>
        </w:tabs>
        <w:ind w:left="720" w:hanging="360"/>
      </w:pPr>
      <w:rPr>
        <w:rFonts w:ascii="Symbol" w:hAnsi="Symbol" w:hint="default"/>
        <w:color w:val="C00000"/>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9">
    <w:nsid w:val="76961E6E"/>
    <w:multiLevelType w:val="multilevel"/>
    <w:tmpl w:val="811A3196"/>
    <w:lvl w:ilvl="0">
      <w:start w:val="1"/>
      <w:numFmt w:val="bullet"/>
      <w:pStyle w:val="EncadrRfrencenum"/>
      <w:lvlText w:val=""/>
      <w:lvlJc w:val="left"/>
      <w:pPr>
        <w:ind w:left="360" w:hanging="360"/>
      </w:pPr>
      <w:rPr>
        <w:rFonts w:ascii="Symbol" w:hAnsi="Symbol" w:hint="default"/>
        <w:color w:val="C00000"/>
      </w:rPr>
    </w:lvl>
    <w:lvl w:ilvl="1">
      <w:start w:val="1"/>
      <w:numFmt w:val="upperRoman"/>
      <w:suff w:val="nothing"/>
      <w:lvlText w:val="Titre %1%2"/>
      <w:lvlJc w:val="left"/>
      <w:pPr>
        <w:ind w:left="792" w:hanging="432"/>
      </w:pPr>
      <w:rPr>
        <w:rFonts w:hint="default"/>
        <w:caps/>
        <w:smallCaps w:val="0"/>
        <w:color w:val="595959"/>
      </w:rPr>
    </w:lvl>
    <w:lvl w:ilvl="2">
      <w:start w:val="1"/>
      <w:numFmt w:val="decimal"/>
      <w:suff w:val="space"/>
      <w:lvlText w:val="Chapitre %3"/>
      <w:lvlJc w:val="left"/>
      <w:pPr>
        <w:ind w:left="1781" w:hanging="504"/>
      </w:pPr>
      <w:rPr>
        <w:rFonts w:hint="default"/>
        <w:caps/>
        <w:smallCaps w:val="0"/>
        <w:color w:val="C00000"/>
        <w:sz w:val="28"/>
        <w:szCs w:val="26"/>
      </w:rPr>
    </w:lvl>
    <w:lvl w:ilvl="3">
      <w:start w:val="1"/>
      <w:numFmt w:val="decimal"/>
      <w:lvlText w:val="%4."/>
      <w:lvlJc w:val="left"/>
      <w:pPr>
        <w:ind w:left="1728" w:hanging="648"/>
      </w:pPr>
      <w:rPr>
        <w:rFonts w:hint="default"/>
      </w:rPr>
    </w:lvl>
    <w:lvl w:ilvl="4">
      <w:start w:val="1"/>
      <w:numFmt w:val="decimal"/>
      <w:lvlText w:val="%5.1"/>
      <w:lvlJc w:val="left"/>
      <w:pPr>
        <w:ind w:left="2232" w:hanging="792"/>
      </w:pPr>
      <w:rPr>
        <w:rFonts w:hint="default"/>
      </w:rPr>
    </w:lvl>
    <w:lvl w:ilvl="5">
      <w:start w:val="1"/>
      <w:numFmt w:val="decimal"/>
      <w:lvlText w:val="%6.1.1"/>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nsid w:val="7714173E"/>
    <w:multiLevelType w:val="hybridMultilevel"/>
    <w:tmpl w:val="644044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1">
    <w:nsid w:val="77F259EC"/>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2">
    <w:nsid w:val="7ABF4367"/>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3">
    <w:nsid w:val="7B860ADD"/>
    <w:multiLevelType w:val="hybridMultilevel"/>
    <w:tmpl w:val="70CCE5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4">
    <w:nsid w:val="7D0156CA"/>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5">
    <w:nsid w:val="7D7D02D7"/>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6">
    <w:nsid w:val="7DD06FCB"/>
    <w:multiLevelType w:val="multilevel"/>
    <w:tmpl w:val="AC5CCA52"/>
    <w:styleLink w:val="alex"/>
    <w:lvl w:ilvl="0">
      <w:start w:val="1"/>
      <w:numFmt w:val="decimal"/>
      <w:suff w:val="space"/>
      <w:lvlText w:val="Chapitre %1"/>
      <w:lvlJc w:val="left"/>
      <w:pPr>
        <w:ind w:left="0" w:firstLine="0"/>
      </w:pPr>
      <w:rPr>
        <w:rFonts w:ascii="Times New Roman" w:hAnsi="Times New Roman"/>
        <w:b/>
        <w:i/>
        <w:caps/>
        <w:sz w:val="44"/>
      </w:rPr>
    </w:lvl>
    <w:lvl w:ilvl="1">
      <w:start w:val="1"/>
      <w:numFmt w:val="upperRoman"/>
      <w:suff w:val="nothing"/>
      <w:lvlText w:val="%2"/>
      <w:lvlJc w:val="left"/>
      <w:pPr>
        <w:ind w:left="0" w:firstLine="0"/>
      </w:pPr>
      <w:rPr>
        <w:rFonts w:ascii="Times New Roman" w:hAnsi="Times New Roman"/>
        <w:b/>
        <w:smallCaps/>
        <w:sz w:val="40"/>
        <w:u w:val="single"/>
      </w:rPr>
    </w:lvl>
    <w:lvl w:ilvl="2">
      <w:start w:val="1"/>
      <w:numFmt w:val="decimal"/>
      <w:suff w:val="nothing"/>
      <w:lvlText w:val="%3"/>
      <w:lvlJc w:val="left"/>
      <w:pPr>
        <w:ind w:left="0" w:firstLine="0"/>
      </w:pPr>
      <w:rPr>
        <w:rFonts w:ascii="Times New Roman" w:hAnsi="Times New Roman"/>
        <w:b/>
        <w:smallCaps/>
        <w:sz w:val="32"/>
        <w:u w:val="single"/>
      </w:rPr>
    </w:lvl>
    <w:lvl w:ilvl="3">
      <w:start w:val="1"/>
      <w:numFmt w:val="decimal"/>
      <w:suff w:val="nothing"/>
      <w:lvlText w:val="%4"/>
      <w:lvlJc w:val="left"/>
      <w:pPr>
        <w:ind w:left="0" w:firstLine="0"/>
      </w:pPr>
      <w:rPr>
        <w:rFonts w:ascii="Times New Roman" w:hAnsi="Times New Roman"/>
        <w:b/>
        <w:i/>
        <w:smallCaps/>
        <w:sz w:val="32"/>
        <w:u w:val="single"/>
      </w:rPr>
    </w:lvl>
    <w:lvl w:ilvl="4">
      <w:start w:val="1"/>
      <w:numFmt w:val="decimal"/>
      <w:suff w:val="nothing"/>
      <w:lvlText w:val="%5"/>
      <w:lvlJc w:val="left"/>
      <w:pPr>
        <w:ind w:left="0" w:firstLine="0"/>
      </w:pPr>
      <w:rPr>
        <w:rFonts w:ascii="Times New Roman" w:hAnsi="Times New Roman"/>
        <w:sz w:val="28"/>
        <w:u w:val="single"/>
      </w:rPr>
    </w:lvl>
    <w:lvl w:ilvl="5">
      <w:start w:val="1"/>
      <w:numFmt w:val="decimal"/>
      <w:suff w:val="nothing"/>
      <w:lvlText w:val="%6"/>
      <w:lvlJc w:val="left"/>
      <w:pPr>
        <w:ind w:left="0" w:firstLine="0"/>
      </w:pPr>
      <w:rPr>
        <w:rFonts w:ascii="Times New Roman" w:hAnsi="Times New Roman"/>
        <w:i/>
        <w:sz w:val="28"/>
        <w:u w:val="single"/>
      </w:rPr>
    </w:lvl>
    <w:lvl w:ilvl="6">
      <w:start w:val="1"/>
      <w:numFmt w:val="decimal"/>
      <w:suff w:val="nothing"/>
      <w:lvlText w:val="%7"/>
      <w:lvlJc w:val="left"/>
      <w:pPr>
        <w:ind w:left="0" w:firstLine="0"/>
      </w:pPr>
      <w:rPr>
        <w:rFonts w:ascii="Times New Roman" w:hAnsi="Times New Roman"/>
        <w:sz w:val="24"/>
        <w:u w:val="single"/>
      </w:rPr>
    </w:lvl>
    <w:lvl w:ilvl="7">
      <w:start w:val="1"/>
      <w:numFmt w:val="decimal"/>
      <w:suff w:val="nothing"/>
      <w:lvlText w:val="%8"/>
      <w:lvlJc w:val="left"/>
      <w:pPr>
        <w:ind w:left="0" w:firstLine="0"/>
      </w:pPr>
      <w:rPr>
        <w:rFonts w:ascii="Times New Roman" w:hAnsi="Times New Roman"/>
        <w:i/>
        <w:sz w:val="24"/>
        <w:u w:val="single"/>
      </w:rPr>
    </w:lvl>
    <w:lvl w:ilvl="8">
      <w:start w:val="1"/>
      <w:numFmt w:val="none"/>
      <w:suff w:val="nothing"/>
      <w:lvlText w:val=""/>
      <w:lvlJc w:val="left"/>
      <w:pPr>
        <w:ind w:left="0" w:firstLine="0"/>
      </w:pPr>
      <w:rPr>
        <w:rFonts w:hint="default"/>
      </w:rPr>
    </w:lvl>
  </w:abstractNum>
  <w:abstractNum w:abstractNumId="167">
    <w:nsid w:val="7E7E6EE4"/>
    <w:multiLevelType w:val="hybridMultilevel"/>
    <w:tmpl w:val="C5A266CC"/>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68">
    <w:nsid w:val="7EB35A9D"/>
    <w:multiLevelType w:val="hybridMultilevel"/>
    <w:tmpl w:val="5BDC6166"/>
    <w:lvl w:ilvl="0" w:tplc="F0720A4C">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69">
    <w:nsid w:val="7F425E4C"/>
    <w:multiLevelType w:val="hybridMultilevel"/>
    <w:tmpl w:val="3C12F460"/>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1"/>
  </w:num>
  <w:num w:numId="2">
    <w:abstractNumId w:val="122"/>
  </w:num>
  <w:num w:numId="3">
    <w:abstractNumId w:val="81"/>
  </w:num>
  <w:num w:numId="4">
    <w:abstractNumId w:val="123"/>
  </w:num>
  <w:num w:numId="5">
    <w:abstractNumId w:val="28"/>
  </w:num>
  <w:num w:numId="6">
    <w:abstractNumId w:val="12"/>
  </w:num>
  <w:num w:numId="7">
    <w:abstractNumId w:val="158"/>
  </w:num>
  <w:num w:numId="8">
    <w:abstractNumId w:val="108"/>
  </w:num>
  <w:num w:numId="9">
    <w:abstractNumId w:val="109"/>
  </w:num>
  <w:num w:numId="10">
    <w:abstractNumId w:val="25"/>
  </w:num>
  <w:num w:numId="11">
    <w:abstractNumId w:val="148"/>
  </w:num>
  <w:num w:numId="12">
    <w:abstractNumId w:val="27"/>
  </w:num>
  <w:num w:numId="13">
    <w:abstractNumId w:val="139"/>
  </w:num>
  <w:num w:numId="14">
    <w:abstractNumId w:val="30"/>
  </w:num>
  <w:num w:numId="15">
    <w:abstractNumId w:val="52"/>
  </w:num>
  <w:num w:numId="16">
    <w:abstractNumId w:val="159"/>
  </w:num>
  <w:num w:numId="17">
    <w:abstractNumId w:val="142"/>
  </w:num>
  <w:num w:numId="18">
    <w:abstractNumId w:val="86"/>
  </w:num>
  <w:num w:numId="19">
    <w:abstractNumId w:val="138"/>
  </w:num>
  <w:num w:numId="20">
    <w:abstractNumId w:val="71"/>
  </w:num>
  <w:num w:numId="21">
    <w:abstractNumId w:val="97"/>
  </w:num>
  <w:num w:numId="22">
    <w:abstractNumId w:val="65"/>
  </w:num>
  <w:num w:numId="23">
    <w:abstractNumId w:val="1"/>
  </w:num>
  <w:num w:numId="24">
    <w:abstractNumId w:val="0"/>
  </w:num>
  <w:num w:numId="25">
    <w:abstractNumId w:val="166"/>
  </w:num>
  <w:num w:numId="26">
    <w:abstractNumId w:val="10"/>
  </w:num>
  <w:num w:numId="27">
    <w:abstractNumId w:val="37"/>
  </w:num>
  <w:num w:numId="2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3"/>
  </w:num>
  <w:num w:numId="30">
    <w:abstractNumId w:val="135"/>
  </w:num>
  <w:num w:numId="31">
    <w:abstractNumId w:val="69"/>
  </w:num>
  <w:num w:numId="32">
    <w:abstractNumId w:val="153"/>
  </w:num>
  <w:num w:numId="33">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0"/>
  </w:num>
  <w:num w:numId="35">
    <w:abstractNumId w:val="36"/>
  </w:num>
  <w:num w:numId="36">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9"/>
  </w:num>
  <w:num w:numId="3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7"/>
  </w:num>
  <w:num w:numId="40">
    <w:abstractNumId w:val="134"/>
  </w:num>
  <w:num w:numId="41">
    <w:abstractNumId w:val="35"/>
  </w:num>
  <w:num w:numId="42">
    <w:abstractNumId w:val="83"/>
  </w:num>
  <w:num w:numId="43">
    <w:abstractNumId w:val="51"/>
  </w:num>
  <w:num w:numId="44">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2"/>
  </w:num>
  <w:num w:numId="47">
    <w:abstractNumId w:val="167"/>
  </w:num>
  <w:num w:numId="48">
    <w:abstractNumId w:val="76"/>
  </w:num>
  <w:num w:numId="49">
    <w:abstractNumId w:val="58"/>
  </w:num>
  <w:num w:numId="50">
    <w:abstractNumId w:val="48"/>
  </w:num>
  <w:num w:numId="51">
    <w:abstractNumId w:val="136"/>
  </w:num>
  <w:num w:numId="52">
    <w:abstractNumId w:val="151"/>
  </w:num>
  <w:num w:numId="53">
    <w:abstractNumId w:val="141"/>
  </w:num>
  <w:num w:numId="54">
    <w:abstractNumId w:val="80"/>
  </w:num>
  <w:num w:numId="55">
    <w:abstractNumId w:val="112"/>
  </w:num>
  <w:num w:numId="56">
    <w:abstractNumId w:val="132"/>
  </w:num>
  <w:num w:numId="57">
    <w:abstractNumId w:val="84"/>
  </w:num>
  <w:num w:numId="58">
    <w:abstractNumId w:val="111"/>
  </w:num>
  <w:num w:numId="59">
    <w:abstractNumId w:val="127"/>
  </w:num>
  <w:num w:numId="60">
    <w:abstractNumId w:val="165"/>
  </w:num>
  <w:num w:numId="61">
    <w:abstractNumId w:val="113"/>
  </w:num>
  <w:num w:numId="62">
    <w:abstractNumId w:val="144"/>
  </w:num>
  <w:num w:numId="63">
    <w:abstractNumId w:val="73"/>
  </w:num>
  <w:num w:numId="64">
    <w:abstractNumId w:val="104"/>
  </w:num>
  <w:num w:numId="65">
    <w:abstractNumId w:val="17"/>
  </w:num>
  <w:num w:numId="66">
    <w:abstractNumId w:val="85"/>
  </w:num>
  <w:num w:numId="67">
    <w:abstractNumId w:val="149"/>
  </w:num>
  <w:num w:numId="68">
    <w:abstractNumId w:val="156"/>
  </w:num>
  <w:num w:numId="69">
    <w:abstractNumId w:val="9"/>
  </w:num>
  <w:num w:numId="70">
    <w:abstractNumId w:val="140"/>
  </w:num>
  <w:num w:numId="71">
    <w:abstractNumId w:val="49"/>
  </w:num>
  <w:num w:numId="72">
    <w:abstractNumId w:val="124"/>
  </w:num>
  <w:num w:numId="73">
    <w:abstractNumId w:val="43"/>
  </w:num>
  <w:num w:numId="74">
    <w:abstractNumId w:val="29"/>
  </w:num>
  <w:num w:numId="75">
    <w:abstractNumId w:val="38"/>
  </w:num>
  <w:num w:numId="76">
    <w:abstractNumId w:val="32"/>
  </w:num>
  <w:num w:numId="77">
    <w:abstractNumId w:val="147"/>
  </w:num>
  <w:num w:numId="78">
    <w:abstractNumId w:val="61"/>
  </w:num>
  <w:num w:numId="79">
    <w:abstractNumId w:val="78"/>
  </w:num>
  <w:num w:numId="80">
    <w:abstractNumId w:val="60"/>
  </w:num>
  <w:num w:numId="81">
    <w:abstractNumId w:val="19"/>
  </w:num>
  <w:num w:numId="82">
    <w:abstractNumId w:val="44"/>
  </w:num>
  <w:num w:numId="83">
    <w:abstractNumId w:val="11"/>
  </w:num>
  <w:num w:numId="84">
    <w:abstractNumId w:val="3"/>
  </w:num>
  <w:num w:numId="85">
    <w:abstractNumId w:val="91"/>
  </w:num>
  <w:num w:numId="86">
    <w:abstractNumId w:val="75"/>
  </w:num>
  <w:num w:numId="87">
    <w:abstractNumId w:val="162"/>
  </w:num>
  <w:num w:numId="88">
    <w:abstractNumId w:val="14"/>
  </w:num>
  <w:num w:numId="89">
    <w:abstractNumId w:val="96"/>
  </w:num>
  <w:num w:numId="90">
    <w:abstractNumId w:val="131"/>
  </w:num>
  <w:num w:numId="91">
    <w:abstractNumId w:val="77"/>
  </w:num>
  <w:num w:numId="92">
    <w:abstractNumId w:val="121"/>
  </w:num>
  <w:num w:numId="93">
    <w:abstractNumId w:val="125"/>
  </w:num>
  <w:num w:numId="94">
    <w:abstractNumId w:val="89"/>
  </w:num>
  <w:num w:numId="95">
    <w:abstractNumId w:val="164"/>
  </w:num>
  <w:num w:numId="96">
    <w:abstractNumId w:val="57"/>
  </w:num>
  <w:num w:numId="97">
    <w:abstractNumId w:val="72"/>
  </w:num>
  <w:num w:numId="98">
    <w:abstractNumId w:val="150"/>
  </w:num>
  <w:num w:numId="99">
    <w:abstractNumId w:val="70"/>
  </w:num>
  <w:num w:numId="100">
    <w:abstractNumId w:val="68"/>
  </w:num>
  <w:num w:numId="101">
    <w:abstractNumId w:val="143"/>
  </w:num>
  <w:num w:numId="102">
    <w:abstractNumId w:val="23"/>
  </w:num>
  <w:num w:numId="103">
    <w:abstractNumId w:val="2"/>
  </w:num>
  <w:num w:numId="104">
    <w:abstractNumId w:val="154"/>
  </w:num>
  <w:num w:numId="105">
    <w:abstractNumId w:val="107"/>
  </w:num>
  <w:num w:numId="106">
    <w:abstractNumId w:val="74"/>
  </w:num>
  <w:num w:numId="107">
    <w:abstractNumId w:val="155"/>
  </w:num>
  <w:num w:numId="108">
    <w:abstractNumId w:val="128"/>
  </w:num>
  <w:num w:numId="109">
    <w:abstractNumId w:val="129"/>
  </w:num>
  <w:num w:numId="110">
    <w:abstractNumId w:val="6"/>
  </w:num>
  <w:num w:numId="111">
    <w:abstractNumId w:val="62"/>
  </w:num>
  <w:num w:numId="112">
    <w:abstractNumId w:val="26"/>
  </w:num>
  <w:num w:numId="113">
    <w:abstractNumId w:val="137"/>
  </w:num>
  <w:num w:numId="114">
    <w:abstractNumId w:val="103"/>
  </w:num>
  <w:num w:numId="115">
    <w:abstractNumId w:val="161"/>
  </w:num>
  <w:num w:numId="116">
    <w:abstractNumId w:val="47"/>
  </w:num>
  <w:num w:numId="117">
    <w:abstractNumId w:val="54"/>
  </w:num>
  <w:num w:numId="118">
    <w:abstractNumId w:val="114"/>
  </w:num>
  <w:num w:numId="119">
    <w:abstractNumId w:val="5"/>
  </w:num>
  <w:num w:numId="120">
    <w:abstractNumId w:val="42"/>
  </w:num>
  <w:num w:numId="121">
    <w:abstractNumId w:val="33"/>
  </w:num>
  <w:num w:numId="122">
    <w:abstractNumId w:val="92"/>
  </w:num>
  <w:num w:numId="123">
    <w:abstractNumId w:val="101"/>
  </w:num>
  <w:num w:numId="124">
    <w:abstractNumId w:val="116"/>
  </w:num>
  <w:num w:numId="125">
    <w:abstractNumId w:val="146"/>
  </w:num>
  <w:num w:numId="126">
    <w:abstractNumId w:val="16"/>
  </w:num>
  <w:num w:numId="127">
    <w:abstractNumId w:val="18"/>
  </w:num>
  <w:num w:numId="128">
    <w:abstractNumId w:val="22"/>
  </w:num>
  <w:num w:numId="129">
    <w:abstractNumId w:val="120"/>
  </w:num>
  <w:num w:numId="130">
    <w:abstractNumId w:val="63"/>
  </w:num>
  <w:num w:numId="131">
    <w:abstractNumId w:val="105"/>
  </w:num>
  <w:num w:numId="132">
    <w:abstractNumId w:val="106"/>
  </w:num>
  <w:num w:numId="133">
    <w:abstractNumId w:val="95"/>
  </w:num>
  <w:num w:numId="134">
    <w:abstractNumId w:val="145"/>
  </w:num>
  <w:num w:numId="135">
    <w:abstractNumId w:val="98"/>
  </w:num>
  <w:num w:numId="136">
    <w:abstractNumId w:val="160"/>
  </w:num>
  <w:num w:numId="137">
    <w:abstractNumId w:val="46"/>
  </w:num>
  <w:num w:numId="138">
    <w:abstractNumId w:val="8"/>
  </w:num>
  <w:num w:numId="139">
    <w:abstractNumId w:val="64"/>
  </w:num>
  <w:num w:numId="140">
    <w:abstractNumId w:val="15"/>
  </w:num>
  <w:num w:numId="141">
    <w:abstractNumId w:val="94"/>
  </w:num>
  <w:num w:numId="142">
    <w:abstractNumId w:val="21"/>
  </w:num>
  <w:num w:numId="143">
    <w:abstractNumId w:val="34"/>
  </w:num>
  <w:num w:numId="144">
    <w:abstractNumId w:val="13"/>
  </w:num>
  <w:num w:numId="145">
    <w:abstractNumId w:val="24"/>
  </w:num>
  <w:num w:numId="146">
    <w:abstractNumId w:val="152"/>
  </w:num>
  <w:num w:numId="147">
    <w:abstractNumId w:val="20"/>
  </w:num>
  <w:num w:numId="148">
    <w:abstractNumId w:val="110"/>
  </w:num>
  <w:num w:numId="149">
    <w:abstractNumId w:val="130"/>
  </w:num>
  <w:num w:numId="150">
    <w:abstractNumId w:val="31"/>
  </w:num>
  <w:num w:numId="151">
    <w:abstractNumId w:val="59"/>
  </w:num>
  <w:num w:numId="152">
    <w:abstractNumId w:val="88"/>
  </w:num>
  <w:num w:numId="153">
    <w:abstractNumId w:val="4"/>
  </w:num>
  <w:num w:numId="154">
    <w:abstractNumId w:val="90"/>
  </w:num>
  <w:num w:numId="155">
    <w:abstractNumId w:val="169"/>
  </w:num>
  <w:num w:numId="156">
    <w:abstractNumId w:val="99"/>
  </w:num>
  <w:num w:numId="157">
    <w:abstractNumId w:val="39"/>
  </w:num>
  <w:num w:numId="158">
    <w:abstractNumId w:val="93"/>
  </w:num>
  <w:num w:numId="159">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79"/>
  </w:num>
  <w:num w:numId="162">
    <w:abstractNumId w:val="40"/>
  </w:num>
  <w:num w:numId="163">
    <w:abstractNumId w:val="53"/>
  </w:num>
  <w:num w:numId="164">
    <w:abstractNumId w:val="55"/>
  </w:num>
  <w:num w:numId="165">
    <w:abstractNumId w:val="115"/>
  </w:num>
  <w:num w:numId="166">
    <w:abstractNumId w:val="7"/>
  </w:num>
  <w:num w:numId="167">
    <w:abstractNumId w:val="117"/>
  </w:num>
  <w:num w:numId="168">
    <w:abstractNumId w:val="157"/>
  </w:num>
  <w:num w:numId="169">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7"/>
  </w:num>
  <w:num w:numId="171">
    <w:abstractNumId w:val="168"/>
  </w:num>
  <w:num w:numId="172">
    <w:abstractNumId w:val="50"/>
  </w:num>
  <w:num w:numId="173">
    <w:abstractNumId w:val="118"/>
  </w:num>
  <w:num w:numId="174">
    <w:abstractNumId w:val="102"/>
  </w:num>
  <w:num w:numId="175">
    <w:abstractNumId w:val="163"/>
  </w:num>
  <w:num w:numId="176">
    <w:abstractNumId w:val="126"/>
  </w:num>
  <w:num w:numId="177">
    <w:abstractNumId w:val="45"/>
  </w:num>
  <w:num w:numId="178">
    <w:abstractNumId w:val="66"/>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SortMethod w:val="0000"/>
  <w:defaultTabStop w:val="709"/>
  <w:hyphenationZone w:val="425"/>
  <w:characterSpacingControl w:val="doNotCompress"/>
  <w:hdrShapeDefaults>
    <o:shapedefaults v:ext="edit" spidmax="614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219"/>
    <w:rsid w:val="000065C0"/>
    <w:rsid w:val="00007B91"/>
    <w:rsid w:val="00014FA0"/>
    <w:rsid w:val="00015384"/>
    <w:rsid w:val="0001737D"/>
    <w:rsid w:val="00017477"/>
    <w:rsid w:val="00021BE0"/>
    <w:rsid w:val="00024AA5"/>
    <w:rsid w:val="00025E30"/>
    <w:rsid w:val="00027278"/>
    <w:rsid w:val="00030BCC"/>
    <w:rsid w:val="00031B0E"/>
    <w:rsid w:val="00042A63"/>
    <w:rsid w:val="000431F5"/>
    <w:rsid w:val="0004357A"/>
    <w:rsid w:val="000452B0"/>
    <w:rsid w:val="00046AB0"/>
    <w:rsid w:val="00053683"/>
    <w:rsid w:val="0005510D"/>
    <w:rsid w:val="00080CB8"/>
    <w:rsid w:val="000819FE"/>
    <w:rsid w:val="00082617"/>
    <w:rsid w:val="00082B55"/>
    <w:rsid w:val="00097F88"/>
    <w:rsid w:val="000A48C5"/>
    <w:rsid w:val="000A4DE7"/>
    <w:rsid w:val="000A5589"/>
    <w:rsid w:val="000A63D3"/>
    <w:rsid w:val="000A69A8"/>
    <w:rsid w:val="000A6F27"/>
    <w:rsid w:val="000C10EE"/>
    <w:rsid w:val="000D03BA"/>
    <w:rsid w:val="000D2F02"/>
    <w:rsid w:val="000E0779"/>
    <w:rsid w:val="000F2138"/>
    <w:rsid w:val="0011422B"/>
    <w:rsid w:val="00115827"/>
    <w:rsid w:val="001237B4"/>
    <w:rsid w:val="0012398C"/>
    <w:rsid w:val="00125153"/>
    <w:rsid w:val="00132361"/>
    <w:rsid w:val="001446EF"/>
    <w:rsid w:val="0014630B"/>
    <w:rsid w:val="0015275E"/>
    <w:rsid w:val="00155B6A"/>
    <w:rsid w:val="001573CA"/>
    <w:rsid w:val="001574C0"/>
    <w:rsid w:val="001654AE"/>
    <w:rsid w:val="00167769"/>
    <w:rsid w:val="00176D70"/>
    <w:rsid w:val="0018183C"/>
    <w:rsid w:val="00195A77"/>
    <w:rsid w:val="001A37A7"/>
    <w:rsid w:val="001A41B2"/>
    <w:rsid w:val="001A446D"/>
    <w:rsid w:val="001A6F1C"/>
    <w:rsid w:val="001B092D"/>
    <w:rsid w:val="001C7535"/>
    <w:rsid w:val="001D1CA1"/>
    <w:rsid w:val="001E6470"/>
    <w:rsid w:val="002032FF"/>
    <w:rsid w:val="00207193"/>
    <w:rsid w:val="00220102"/>
    <w:rsid w:val="002311B7"/>
    <w:rsid w:val="00232F9B"/>
    <w:rsid w:val="00252013"/>
    <w:rsid w:val="002625C5"/>
    <w:rsid w:val="00262F7C"/>
    <w:rsid w:val="00264DC2"/>
    <w:rsid w:val="0026520B"/>
    <w:rsid w:val="00271918"/>
    <w:rsid w:val="002928DC"/>
    <w:rsid w:val="002A3062"/>
    <w:rsid w:val="002A5EB9"/>
    <w:rsid w:val="002D287B"/>
    <w:rsid w:val="002E3955"/>
    <w:rsid w:val="0030032D"/>
    <w:rsid w:val="00300857"/>
    <w:rsid w:val="00300D9D"/>
    <w:rsid w:val="003020C0"/>
    <w:rsid w:val="0030369B"/>
    <w:rsid w:val="003444DC"/>
    <w:rsid w:val="00352C3A"/>
    <w:rsid w:val="00353EC3"/>
    <w:rsid w:val="00356933"/>
    <w:rsid w:val="0036654F"/>
    <w:rsid w:val="00366AC2"/>
    <w:rsid w:val="00371C83"/>
    <w:rsid w:val="00395C06"/>
    <w:rsid w:val="003A0554"/>
    <w:rsid w:val="003A239F"/>
    <w:rsid w:val="003A34A9"/>
    <w:rsid w:val="003B13F4"/>
    <w:rsid w:val="003B63AF"/>
    <w:rsid w:val="003E18D7"/>
    <w:rsid w:val="003E382A"/>
    <w:rsid w:val="003E3A1B"/>
    <w:rsid w:val="003F0DAF"/>
    <w:rsid w:val="003F3B5A"/>
    <w:rsid w:val="00404BFC"/>
    <w:rsid w:val="00413F95"/>
    <w:rsid w:val="004400D3"/>
    <w:rsid w:val="00447278"/>
    <w:rsid w:val="004474C6"/>
    <w:rsid w:val="004562DE"/>
    <w:rsid w:val="00456587"/>
    <w:rsid w:val="004615B6"/>
    <w:rsid w:val="00476AA1"/>
    <w:rsid w:val="00487FD6"/>
    <w:rsid w:val="004A212B"/>
    <w:rsid w:val="004A575A"/>
    <w:rsid w:val="004A782B"/>
    <w:rsid w:val="004B7593"/>
    <w:rsid w:val="004B7982"/>
    <w:rsid w:val="004C3475"/>
    <w:rsid w:val="004C61F8"/>
    <w:rsid w:val="004D0B3C"/>
    <w:rsid w:val="004D79E6"/>
    <w:rsid w:val="004E1094"/>
    <w:rsid w:val="004E5CC9"/>
    <w:rsid w:val="004F4996"/>
    <w:rsid w:val="004F68C6"/>
    <w:rsid w:val="00502360"/>
    <w:rsid w:val="00502F84"/>
    <w:rsid w:val="005271BB"/>
    <w:rsid w:val="00532766"/>
    <w:rsid w:val="0053526E"/>
    <w:rsid w:val="00547B1A"/>
    <w:rsid w:val="0055541C"/>
    <w:rsid w:val="00567311"/>
    <w:rsid w:val="0057069E"/>
    <w:rsid w:val="005754BF"/>
    <w:rsid w:val="00581A94"/>
    <w:rsid w:val="005830B5"/>
    <w:rsid w:val="00585B5F"/>
    <w:rsid w:val="00587AAE"/>
    <w:rsid w:val="00587C4D"/>
    <w:rsid w:val="00595895"/>
    <w:rsid w:val="005A5191"/>
    <w:rsid w:val="005A6218"/>
    <w:rsid w:val="005A65F0"/>
    <w:rsid w:val="005A693D"/>
    <w:rsid w:val="005D196B"/>
    <w:rsid w:val="005D5BD6"/>
    <w:rsid w:val="005D7633"/>
    <w:rsid w:val="005E25AE"/>
    <w:rsid w:val="005E4163"/>
    <w:rsid w:val="005E472B"/>
    <w:rsid w:val="005E5D3E"/>
    <w:rsid w:val="005E66E5"/>
    <w:rsid w:val="005F2E03"/>
    <w:rsid w:val="00607DA6"/>
    <w:rsid w:val="00633D48"/>
    <w:rsid w:val="006376F8"/>
    <w:rsid w:val="00646BC1"/>
    <w:rsid w:val="00646E7D"/>
    <w:rsid w:val="00650277"/>
    <w:rsid w:val="00655208"/>
    <w:rsid w:val="006556CC"/>
    <w:rsid w:val="006567A0"/>
    <w:rsid w:val="00660174"/>
    <w:rsid w:val="00673FC5"/>
    <w:rsid w:val="006840AD"/>
    <w:rsid w:val="0069016F"/>
    <w:rsid w:val="00694219"/>
    <w:rsid w:val="00695879"/>
    <w:rsid w:val="00697812"/>
    <w:rsid w:val="006A16EA"/>
    <w:rsid w:val="006A4D21"/>
    <w:rsid w:val="006B43CC"/>
    <w:rsid w:val="006D50D8"/>
    <w:rsid w:val="006E377F"/>
    <w:rsid w:val="00702A79"/>
    <w:rsid w:val="00707138"/>
    <w:rsid w:val="0071319F"/>
    <w:rsid w:val="00721E59"/>
    <w:rsid w:val="00725B32"/>
    <w:rsid w:val="0073613B"/>
    <w:rsid w:val="00744A9E"/>
    <w:rsid w:val="00747155"/>
    <w:rsid w:val="00750C83"/>
    <w:rsid w:val="00753A4A"/>
    <w:rsid w:val="007564C8"/>
    <w:rsid w:val="0077741D"/>
    <w:rsid w:val="0078167A"/>
    <w:rsid w:val="007834D5"/>
    <w:rsid w:val="007947D7"/>
    <w:rsid w:val="007B186E"/>
    <w:rsid w:val="007B1F0B"/>
    <w:rsid w:val="007E1DA5"/>
    <w:rsid w:val="007E7BFB"/>
    <w:rsid w:val="00800F4A"/>
    <w:rsid w:val="008206F2"/>
    <w:rsid w:val="00820CF5"/>
    <w:rsid w:val="00821D2C"/>
    <w:rsid w:val="0083224D"/>
    <w:rsid w:val="008375E9"/>
    <w:rsid w:val="0084165B"/>
    <w:rsid w:val="008419DA"/>
    <w:rsid w:val="00845987"/>
    <w:rsid w:val="008479F2"/>
    <w:rsid w:val="00847EEC"/>
    <w:rsid w:val="00854E44"/>
    <w:rsid w:val="008574F4"/>
    <w:rsid w:val="00862268"/>
    <w:rsid w:val="00867E42"/>
    <w:rsid w:val="0087443A"/>
    <w:rsid w:val="008757DC"/>
    <w:rsid w:val="00875FE9"/>
    <w:rsid w:val="008820D9"/>
    <w:rsid w:val="0089337D"/>
    <w:rsid w:val="00894709"/>
    <w:rsid w:val="008A2884"/>
    <w:rsid w:val="008A55C0"/>
    <w:rsid w:val="008C3E5A"/>
    <w:rsid w:val="008D045B"/>
    <w:rsid w:val="008F183B"/>
    <w:rsid w:val="008F6F84"/>
    <w:rsid w:val="009005A4"/>
    <w:rsid w:val="00903792"/>
    <w:rsid w:val="00904A65"/>
    <w:rsid w:val="009205CB"/>
    <w:rsid w:val="0094185D"/>
    <w:rsid w:val="009431F5"/>
    <w:rsid w:val="00944F01"/>
    <w:rsid w:val="00950B05"/>
    <w:rsid w:val="00951239"/>
    <w:rsid w:val="00951B7E"/>
    <w:rsid w:val="0095748E"/>
    <w:rsid w:val="0095790E"/>
    <w:rsid w:val="0096646F"/>
    <w:rsid w:val="00971CE3"/>
    <w:rsid w:val="00981EDD"/>
    <w:rsid w:val="0098368B"/>
    <w:rsid w:val="0099145B"/>
    <w:rsid w:val="009A4EE4"/>
    <w:rsid w:val="009A7893"/>
    <w:rsid w:val="009B1356"/>
    <w:rsid w:val="009B2BAB"/>
    <w:rsid w:val="009C1D99"/>
    <w:rsid w:val="009C3C73"/>
    <w:rsid w:val="009E11BC"/>
    <w:rsid w:val="009E5EF8"/>
    <w:rsid w:val="009E68FE"/>
    <w:rsid w:val="009F191B"/>
    <w:rsid w:val="009F2E16"/>
    <w:rsid w:val="00A044E5"/>
    <w:rsid w:val="00A10B5A"/>
    <w:rsid w:val="00A150C9"/>
    <w:rsid w:val="00A1685E"/>
    <w:rsid w:val="00A277C8"/>
    <w:rsid w:val="00A3034B"/>
    <w:rsid w:val="00A333D0"/>
    <w:rsid w:val="00A34405"/>
    <w:rsid w:val="00A55563"/>
    <w:rsid w:val="00A60A4C"/>
    <w:rsid w:val="00A745E6"/>
    <w:rsid w:val="00A83957"/>
    <w:rsid w:val="00AA4805"/>
    <w:rsid w:val="00AB215A"/>
    <w:rsid w:val="00AB4F52"/>
    <w:rsid w:val="00AC17A2"/>
    <w:rsid w:val="00AC4376"/>
    <w:rsid w:val="00AD4974"/>
    <w:rsid w:val="00AE1571"/>
    <w:rsid w:val="00AE20F4"/>
    <w:rsid w:val="00AE588F"/>
    <w:rsid w:val="00AF0AEE"/>
    <w:rsid w:val="00AF4243"/>
    <w:rsid w:val="00B07318"/>
    <w:rsid w:val="00B23C4D"/>
    <w:rsid w:val="00B324B3"/>
    <w:rsid w:val="00B52D76"/>
    <w:rsid w:val="00B5380B"/>
    <w:rsid w:val="00B5495D"/>
    <w:rsid w:val="00B74EA4"/>
    <w:rsid w:val="00B82F1F"/>
    <w:rsid w:val="00B84B5F"/>
    <w:rsid w:val="00B87522"/>
    <w:rsid w:val="00B912CE"/>
    <w:rsid w:val="00B935EA"/>
    <w:rsid w:val="00BB5C3D"/>
    <w:rsid w:val="00BB7051"/>
    <w:rsid w:val="00BB73A5"/>
    <w:rsid w:val="00BC3C67"/>
    <w:rsid w:val="00BC3C90"/>
    <w:rsid w:val="00BF1ADA"/>
    <w:rsid w:val="00C06DC3"/>
    <w:rsid w:val="00C06DFE"/>
    <w:rsid w:val="00C134AD"/>
    <w:rsid w:val="00C21747"/>
    <w:rsid w:val="00C24703"/>
    <w:rsid w:val="00C3621A"/>
    <w:rsid w:val="00C40DA4"/>
    <w:rsid w:val="00C425B2"/>
    <w:rsid w:val="00C43C25"/>
    <w:rsid w:val="00C5351A"/>
    <w:rsid w:val="00C55806"/>
    <w:rsid w:val="00C639CE"/>
    <w:rsid w:val="00C64C61"/>
    <w:rsid w:val="00C71646"/>
    <w:rsid w:val="00C721E4"/>
    <w:rsid w:val="00C77D1A"/>
    <w:rsid w:val="00C91A43"/>
    <w:rsid w:val="00C94D1A"/>
    <w:rsid w:val="00C94FEF"/>
    <w:rsid w:val="00CC2355"/>
    <w:rsid w:val="00CD2002"/>
    <w:rsid w:val="00CD6EE2"/>
    <w:rsid w:val="00CE1F17"/>
    <w:rsid w:val="00CE45D2"/>
    <w:rsid w:val="00CE5177"/>
    <w:rsid w:val="00CF37A3"/>
    <w:rsid w:val="00D079F9"/>
    <w:rsid w:val="00D10BA3"/>
    <w:rsid w:val="00D143E4"/>
    <w:rsid w:val="00D32E14"/>
    <w:rsid w:val="00D36A64"/>
    <w:rsid w:val="00D40B75"/>
    <w:rsid w:val="00D41917"/>
    <w:rsid w:val="00D4352E"/>
    <w:rsid w:val="00D522DA"/>
    <w:rsid w:val="00D52521"/>
    <w:rsid w:val="00D55B2D"/>
    <w:rsid w:val="00D70CB0"/>
    <w:rsid w:val="00D70DCF"/>
    <w:rsid w:val="00D855E1"/>
    <w:rsid w:val="00D86CFA"/>
    <w:rsid w:val="00D920DC"/>
    <w:rsid w:val="00D966F3"/>
    <w:rsid w:val="00D97C55"/>
    <w:rsid w:val="00DB3153"/>
    <w:rsid w:val="00DC5AB7"/>
    <w:rsid w:val="00DD3910"/>
    <w:rsid w:val="00DD3C5D"/>
    <w:rsid w:val="00DD607E"/>
    <w:rsid w:val="00DF30B2"/>
    <w:rsid w:val="00DF36BC"/>
    <w:rsid w:val="00E00FF9"/>
    <w:rsid w:val="00E014CC"/>
    <w:rsid w:val="00E04FFE"/>
    <w:rsid w:val="00E10C1B"/>
    <w:rsid w:val="00E1552B"/>
    <w:rsid w:val="00E4289F"/>
    <w:rsid w:val="00E46AF6"/>
    <w:rsid w:val="00E83ABD"/>
    <w:rsid w:val="00E978D8"/>
    <w:rsid w:val="00EA5B44"/>
    <w:rsid w:val="00EC5DAD"/>
    <w:rsid w:val="00EE3A1B"/>
    <w:rsid w:val="00EF6482"/>
    <w:rsid w:val="00F12BF7"/>
    <w:rsid w:val="00F16965"/>
    <w:rsid w:val="00F17AC8"/>
    <w:rsid w:val="00F47049"/>
    <w:rsid w:val="00F471F1"/>
    <w:rsid w:val="00F52F45"/>
    <w:rsid w:val="00F54248"/>
    <w:rsid w:val="00F6201F"/>
    <w:rsid w:val="00F83B4D"/>
    <w:rsid w:val="00F855B5"/>
    <w:rsid w:val="00F86F2E"/>
    <w:rsid w:val="00F9327F"/>
    <w:rsid w:val="00FA41C5"/>
    <w:rsid w:val="00FB3BB0"/>
    <w:rsid w:val="00FC5F2D"/>
    <w:rsid w:val="00FD10F1"/>
    <w:rsid w:val="00FD22FB"/>
    <w:rsid w:val="00FF02D7"/>
    <w:rsid w:val="00FF0393"/>
    <w:rsid w:val="00FF0A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15:docId w15:val="{CAC3F596-F0C8-48E0-B3B6-04F443F0E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F95"/>
    <w:rPr>
      <w:rFonts w:ascii="Times New Roman" w:eastAsia="Times New Roman" w:hAnsi="Times New Roman"/>
      <w:sz w:val="24"/>
      <w:szCs w:val="24"/>
      <w:lang w:eastAsia="fr-FR"/>
    </w:rPr>
  </w:style>
  <w:style w:type="paragraph" w:styleId="Titre1">
    <w:name w:val="heading 1"/>
    <w:basedOn w:val="Titre2"/>
    <w:next w:val="Normal"/>
    <w:link w:val="Titre1Car"/>
    <w:uiPriority w:val="9"/>
    <w:qFormat/>
    <w:rsid w:val="00B23C4D"/>
    <w:pPr>
      <w:pageBreakBefore/>
      <w:pBdr>
        <w:bottom w:val="single" w:sz="12" w:space="1" w:color="C00000"/>
      </w:pBdr>
      <w:spacing w:before="240" w:after="720" w:line="312" w:lineRule="auto"/>
      <w:ind w:left="792" w:hanging="432"/>
      <w:outlineLvl w:val="0"/>
    </w:pPr>
    <w:rPr>
      <w:rFonts w:eastAsiaTheme="minorHAnsi" w:cs="Calibri"/>
      <w:b w:val="0"/>
      <w:iCs/>
      <w:smallCaps/>
      <w:color w:val="C00000"/>
      <w:sz w:val="36"/>
      <w:szCs w:val="23"/>
      <w:lang w:eastAsia="en-US"/>
    </w:rPr>
  </w:style>
  <w:style w:type="paragraph" w:styleId="Titre2">
    <w:name w:val="heading 2"/>
    <w:basedOn w:val="Textebrut"/>
    <w:next w:val="Normal"/>
    <w:link w:val="Titre2Car"/>
    <w:uiPriority w:val="9"/>
    <w:qFormat/>
    <w:rsid w:val="00694219"/>
    <w:pPr>
      <w:spacing w:after="120"/>
      <w:jc w:val="right"/>
      <w:outlineLvl w:val="1"/>
    </w:pPr>
    <w:rPr>
      <w:rFonts w:ascii="Trebuchet MS" w:eastAsia="Arial Unicode MS" w:hAnsi="Trebuchet MS"/>
      <w:b/>
    </w:rPr>
  </w:style>
  <w:style w:type="paragraph" w:styleId="Titre3">
    <w:name w:val="heading 3"/>
    <w:basedOn w:val="Titre2"/>
    <w:next w:val="Normal"/>
    <w:link w:val="Titre3Car"/>
    <w:qFormat/>
    <w:rsid w:val="00694219"/>
    <w:pPr>
      <w:pBdr>
        <w:top w:val="single" w:sz="4" w:space="1" w:color="auto" w:shadow="1"/>
        <w:left w:val="single" w:sz="4" w:space="0" w:color="auto" w:shadow="1"/>
        <w:bottom w:val="single" w:sz="4" w:space="1" w:color="auto" w:shadow="1"/>
        <w:right w:val="single" w:sz="4" w:space="4" w:color="auto" w:shadow="1"/>
      </w:pBdr>
      <w:shd w:val="clear" w:color="auto" w:fill="FFFFFF"/>
      <w:jc w:val="center"/>
      <w:outlineLvl w:val="2"/>
    </w:pPr>
    <w:rPr>
      <w:sz w:val="22"/>
      <w:szCs w:val="22"/>
    </w:rPr>
  </w:style>
  <w:style w:type="paragraph" w:styleId="Titre4">
    <w:name w:val="heading 4"/>
    <w:basedOn w:val="titre4g"/>
    <w:next w:val="Normal"/>
    <w:link w:val="Titre4Car"/>
    <w:qFormat/>
    <w:rsid w:val="00694219"/>
    <w:pPr>
      <w:outlineLvl w:val="3"/>
    </w:pPr>
    <w:rPr>
      <w:caps/>
    </w:rPr>
  </w:style>
  <w:style w:type="paragraph" w:styleId="Titre5">
    <w:name w:val="heading 5"/>
    <w:basedOn w:val="titre6"/>
    <w:next w:val="Normal"/>
    <w:link w:val="Titre5Car"/>
    <w:qFormat/>
    <w:rsid w:val="00A333D0"/>
    <w:pPr>
      <w:numPr>
        <w:ilvl w:val="2"/>
        <w:numId w:val="32"/>
      </w:numPr>
      <w:tabs>
        <w:tab w:val="clear" w:pos="1418"/>
      </w:tabs>
      <w:spacing w:before="240"/>
      <w:ind w:left="284" w:hanging="284"/>
      <w:outlineLvl w:val="4"/>
    </w:pPr>
    <w:rPr>
      <w:rFonts w:ascii="Trebuchet MS" w:hAnsi="Trebuchet MS"/>
      <w:b/>
      <w:i w:val="0"/>
      <w:color w:val="595959" w:themeColor="text1" w:themeTint="A6"/>
      <w:sz w:val="22"/>
    </w:rPr>
  </w:style>
  <w:style w:type="paragraph" w:styleId="Titre60">
    <w:name w:val="heading 6"/>
    <w:basedOn w:val="Normal"/>
    <w:next w:val="Normal"/>
    <w:link w:val="Titre6Car"/>
    <w:unhideWhenUsed/>
    <w:qFormat/>
    <w:rsid w:val="00694219"/>
    <w:pPr>
      <w:autoSpaceDE w:val="0"/>
      <w:autoSpaceDN w:val="0"/>
      <w:adjustRightInd w:val="0"/>
      <w:spacing w:before="240"/>
      <w:jc w:val="both"/>
      <w:outlineLvl w:val="5"/>
    </w:pPr>
    <w:rPr>
      <w:rFonts w:ascii="Trebuchet MS" w:hAnsi="Trebuchet MS"/>
      <w:b/>
      <w:bCs/>
      <w:iCs/>
      <w:color w:val="C00000"/>
      <w:sz w:val="20"/>
      <w:szCs w:val="23"/>
    </w:rPr>
  </w:style>
  <w:style w:type="paragraph" w:styleId="Titre7">
    <w:name w:val="heading 7"/>
    <w:basedOn w:val="Normal"/>
    <w:next w:val="Normal"/>
    <w:link w:val="Titre7Car"/>
    <w:qFormat/>
    <w:rsid w:val="00694219"/>
    <w:pPr>
      <w:keepNext/>
      <w:jc w:val="center"/>
      <w:outlineLvl w:val="6"/>
    </w:pPr>
    <w:rPr>
      <w:rFonts w:ascii="Trebuchet MS" w:hAnsi="Trebuchet MS" w:cs="Arial"/>
      <w:b/>
      <w:bCs/>
      <w:sz w:val="44"/>
      <w:szCs w:val="20"/>
      <w:u w:val="single"/>
    </w:rPr>
  </w:style>
  <w:style w:type="paragraph" w:styleId="Titre8">
    <w:name w:val="heading 8"/>
    <w:basedOn w:val="Normal"/>
    <w:next w:val="Normal"/>
    <w:link w:val="Titre8Car"/>
    <w:semiHidden/>
    <w:unhideWhenUsed/>
    <w:qFormat/>
    <w:rsid w:val="00694219"/>
    <w:pPr>
      <w:spacing w:before="240" w:after="60"/>
      <w:outlineLvl w:val="7"/>
    </w:pPr>
    <w:rPr>
      <w:rFonts w:ascii="Trebuchet MS" w:hAnsi="Trebuchet MS" w:cs="Calibri"/>
      <w:b/>
      <w:iCs/>
      <w:color w:val="6C7073"/>
      <w:sz w:val="20"/>
      <w:szCs w:val="23"/>
    </w:rPr>
  </w:style>
  <w:style w:type="paragraph" w:styleId="Titre9">
    <w:name w:val="heading 9"/>
    <w:basedOn w:val="Normal"/>
    <w:next w:val="Normal"/>
    <w:link w:val="Titre9Car"/>
    <w:semiHidden/>
    <w:unhideWhenUsed/>
    <w:qFormat/>
    <w:rsid w:val="00694219"/>
    <w:pPr>
      <w:spacing w:before="240" w:after="60"/>
      <w:outlineLvl w:val="8"/>
    </w:pPr>
    <w:rPr>
      <w:rFonts w:ascii="Trebuchet MS" w:hAnsi="Trebuchet MS" w:cs="Calibri"/>
      <w:b/>
      <w:iCs/>
      <w:color w:val="A4A7AA"/>
      <w:sz w:val="20"/>
      <w:szCs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23C4D"/>
    <w:rPr>
      <w:rFonts w:ascii="Trebuchet MS" w:hAnsi="Trebuchet MS" w:cs="Calibri"/>
      <w:iCs/>
      <w:smallCaps/>
      <w:color w:val="C00000"/>
      <w:sz w:val="36"/>
      <w:szCs w:val="23"/>
    </w:rPr>
  </w:style>
  <w:style w:type="character" w:customStyle="1" w:styleId="Titre2Car">
    <w:name w:val="Titre 2 Car"/>
    <w:basedOn w:val="Policepardfaut"/>
    <w:link w:val="Titre2"/>
    <w:uiPriority w:val="9"/>
    <w:rsid w:val="00694219"/>
    <w:rPr>
      <w:rFonts w:ascii="Trebuchet MS" w:eastAsia="Arial Unicode MS" w:hAnsi="Trebuchet MS" w:cs="Courier New"/>
      <w:b/>
      <w:lang w:eastAsia="fr-FR"/>
    </w:rPr>
  </w:style>
  <w:style w:type="character" w:customStyle="1" w:styleId="Titre3Car">
    <w:name w:val="Titre 3 Car"/>
    <w:basedOn w:val="Policepardfaut"/>
    <w:link w:val="Titre3"/>
    <w:rsid w:val="00694219"/>
    <w:rPr>
      <w:rFonts w:ascii="Trebuchet MS" w:eastAsia="Arial Unicode MS" w:hAnsi="Trebuchet MS" w:cs="Courier New"/>
      <w:b/>
      <w:sz w:val="22"/>
      <w:szCs w:val="22"/>
      <w:shd w:val="clear" w:color="auto" w:fill="FFFFFF"/>
      <w:lang w:eastAsia="fr-FR"/>
    </w:rPr>
  </w:style>
  <w:style w:type="character" w:customStyle="1" w:styleId="Titre4Car">
    <w:name w:val="Titre 4 Car"/>
    <w:basedOn w:val="Policepardfaut"/>
    <w:link w:val="Titre4"/>
    <w:rsid w:val="00694219"/>
    <w:rPr>
      <w:rFonts w:ascii="Trebuchet MS" w:eastAsia="Arial Unicode MS" w:hAnsi="Trebuchet MS" w:cs="Courier New"/>
      <w:b/>
      <w:bCs/>
      <w:caps/>
      <w:shadow/>
      <w:spacing w:val="-6"/>
      <w:sz w:val="26"/>
      <w:szCs w:val="26"/>
      <w:lang w:eastAsia="fr-FR"/>
    </w:rPr>
  </w:style>
  <w:style w:type="character" w:customStyle="1" w:styleId="Titre5Car">
    <w:name w:val="Titre 5 Car"/>
    <w:basedOn w:val="Policepardfaut"/>
    <w:link w:val="Titre5"/>
    <w:rsid w:val="00A333D0"/>
    <w:rPr>
      <w:rFonts w:ascii="Trebuchet MS" w:eastAsia="Times New Roman" w:hAnsi="Trebuchet MS" w:cs="Times"/>
      <w:b/>
      <w:iCs/>
      <w:color w:val="595959" w:themeColor="text1" w:themeTint="A6"/>
      <w:sz w:val="22"/>
      <w:szCs w:val="24"/>
      <w:lang w:eastAsia="fr-FR"/>
    </w:rPr>
  </w:style>
  <w:style w:type="character" w:customStyle="1" w:styleId="Titre6Car">
    <w:name w:val="Titre 6 Car"/>
    <w:basedOn w:val="Policepardfaut"/>
    <w:link w:val="Titre60"/>
    <w:rsid w:val="00694219"/>
    <w:rPr>
      <w:rFonts w:ascii="Trebuchet MS" w:eastAsia="Times New Roman" w:hAnsi="Trebuchet MS"/>
      <w:b/>
      <w:bCs/>
      <w:iCs/>
      <w:color w:val="C00000"/>
      <w:szCs w:val="23"/>
      <w:lang w:eastAsia="fr-FR"/>
    </w:rPr>
  </w:style>
  <w:style w:type="character" w:customStyle="1" w:styleId="Titre7Car">
    <w:name w:val="Titre 7 Car"/>
    <w:basedOn w:val="Policepardfaut"/>
    <w:link w:val="Titre7"/>
    <w:rsid w:val="00694219"/>
    <w:rPr>
      <w:rFonts w:ascii="Trebuchet MS" w:eastAsia="Times New Roman" w:hAnsi="Trebuchet MS" w:cs="Arial"/>
      <w:b/>
      <w:bCs/>
      <w:sz w:val="44"/>
      <w:u w:val="single"/>
      <w:lang w:eastAsia="fr-FR"/>
    </w:rPr>
  </w:style>
  <w:style w:type="character" w:customStyle="1" w:styleId="Titre8Car">
    <w:name w:val="Titre 8 Car"/>
    <w:basedOn w:val="Policepardfaut"/>
    <w:link w:val="Titre8"/>
    <w:semiHidden/>
    <w:rsid w:val="00694219"/>
    <w:rPr>
      <w:rFonts w:ascii="Trebuchet MS" w:eastAsia="Times New Roman" w:hAnsi="Trebuchet MS" w:cs="Calibri"/>
      <w:b/>
      <w:iCs/>
      <w:color w:val="6C7073"/>
      <w:szCs w:val="23"/>
      <w:lang w:eastAsia="fr-FR"/>
    </w:rPr>
  </w:style>
  <w:style w:type="character" w:customStyle="1" w:styleId="Titre9Car">
    <w:name w:val="Titre 9 Car"/>
    <w:basedOn w:val="Policepardfaut"/>
    <w:link w:val="Titre9"/>
    <w:semiHidden/>
    <w:rsid w:val="00694219"/>
    <w:rPr>
      <w:rFonts w:ascii="Trebuchet MS" w:eastAsia="Times New Roman" w:hAnsi="Trebuchet MS" w:cs="Calibri"/>
      <w:b/>
      <w:iCs/>
      <w:color w:val="A4A7AA"/>
      <w:szCs w:val="23"/>
      <w:lang w:eastAsia="fr-FR"/>
    </w:rPr>
  </w:style>
  <w:style w:type="paragraph" w:styleId="Textebrut">
    <w:name w:val="Plain Text"/>
    <w:basedOn w:val="Normal"/>
    <w:link w:val="TextebrutCar"/>
    <w:rsid w:val="00694219"/>
    <w:rPr>
      <w:rFonts w:ascii="Courier New" w:hAnsi="Courier New" w:cs="Courier New"/>
      <w:sz w:val="20"/>
      <w:szCs w:val="20"/>
    </w:rPr>
  </w:style>
  <w:style w:type="character" w:customStyle="1" w:styleId="TextebrutCar">
    <w:name w:val="Texte brut Car"/>
    <w:basedOn w:val="Policepardfaut"/>
    <w:link w:val="Textebrut"/>
    <w:rsid w:val="00694219"/>
    <w:rPr>
      <w:rFonts w:ascii="Courier New" w:eastAsia="Times New Roman" w:hAnsi="Courier New" w:cs="Courier New"/>
      <w:lang w:eastAsia="fr-FR"/>
    </w:rPr>
  </w:style>
  <w:style w:type="paragraph" w:styleId="Pieddepage">
    <w:name w:val="footer"/>
    <w:basedOn w:val="Normal"/>
    <w:link w:val="PieddepageCar"/>
    <w:uiPriority w:val="99"/>
    <w:rsid w:val="00694219"/>
    <w:pPr>
      <w:tabs>
        <w:tab w:val="center" w:pos="4536"/>
        <w:tab w:val="right" w:pos="9072"/>
      </w:tabs>
    </w:pPr>
  </w:style>
  <w:style w:type="character" w:customStyle="1" w:styleId="PieddepageCar">
    <w:name w:val="Pied de page Car"/>
    <w:basedOn w:val="Policepardfaut"/>
    <w:link w:val="Pieddepage"/>
    <w:uiPriority w:val="99"/>
    <w:rsid w:val="00694219"/>
    <w:rPr>
      <w:rFonts w:ascii="Times New Roman" w:eastAsia="Times New Roman" w:hAnsi="Times New Roman"/>
      <w:sz w:val="24"/>
      <w:szCs w:val="24"/>
      <w:lang w:eastAsia="fr-FR"/>
    </w:rPr>
  </w:style>
  <w:style w:type="character" w:styleId="Numrodepage">
    <w:name w:val="page number"/>
    <w:basedOn w:val="Policepardfaut"/>
    <w:rsid w:val="00694219"/>
  </w:style>
  <w:style w:type="paragraph" w:styleId="En-tte">
    <w:name w:val="header"/>
    <w:basedOn w:val="Normal"/>
    <w:link w:val="En-tteCar"/>
    <w:uiPriority w:val="99"/>
    <w:rsid w:val="00694219"/>
    <w:pPr>
      <w:widowControl w:val="0"/>
      <w:tabs>
        <w:tab w:val="center" w:pos="4320"/>
        <w:tab w:val="right" w:pos="8640"/>
      </w:tabs>
    </w:pPr>
    <w:rPr>
      <w:rFonts w:ascii="New York" w:hAnsi="New York"/>
    </w:rPr>
  </w:style>
  <w:style w:type="character" w:customStyle="1" w:styleId="En-tteCar">
    <w:name w:val="En-tête Car"/>
    <w:basedOn w:val="Policepardfaut"/>
    <w:link w:val="En-tte"/>
    <w:uiPriority w:val="99"/>
    <w:rsid w:val="00694219"/>
    <w:rPr>
      <w:rFonts w:ascii="New York" w:eastAsia="Times New Roman" w:hAnsi="New York"/>
      <w:sz w:val="24"/>
      <w:szCs w:val="24"/>
      <w:lang w:eastAsia="fr-FR"/>
    </w:rPr>
  </w:style>
  <w:style w:type="paragraph" w:styleId="Lgende">
    <w:name w:val="caption"/>
    <w:basedOn w:val="Normal"/>
    <w:next w:val="Normal"/>
    <w:qFormat/>
    <w:rsid w:val="00694219"/>
    <w:pPr>
      <w:widowControl w:val="0"/>
      <w:spacing w:before="120" w:after="120"/>
    </w:pPr>
    <w:rPr>
      <w:rFonts w:ascii="New York" w:hAnsi="New York"/>
      <w:b/>
      <w:bCs/>
    </w:rPr>
  </w:style>
  <w:style w:type="paragraph" w:styleId="Textedebulles">
    <w:name w:val="Balloon Text"/>
    <w:basedOn w:val="Normal"/>
    <w:link w:val="TextedebullesCar"/>
    <w:semiHidden/>
    <w:rsid w:val="00694219"/>
    <w:rPr>
      <w:rFonts w:ascii="Tahoma" w:hAnsi="Tahoma" w:cs="Tahoma"/>
      <w:sz w:val="16"/>
      <w:szCs w:val="16"/>
    </w:rPr>
  </w:style>
  <w:style w:type="character" w:customStyle="1" w:styleId="TextedebullesCar">
    <w:name w:val="Texte de bulles Car"/>
    <w:basedOn w:val="Policepardfaut"/>
    <w:link w:val="Textedebulles"/>
    <w:semiHidden/>
    <w:rsid w:val="00694219"/>
    <w:rPr>
      <w:rFonts w:ascii="Tahoma" w:eastAsia="Times New Roman" w:hAnsi="Tahoma" w:cs="Tahoma"/>
      <w:sz w:val="16"/>
      <w:szCs w:val="16"/>
      <w:lang w:eastAsia="fr-FR"/>
    </w:rPr>
  </w:style>
  <w:style w:type="paragraph" w:styleId="Explorateurdedocuments">
    <w:name w:val="Document Map"/>
    <w:basedOn w:val="Normal"/>
    <w:link w:val="ExplorateurdedocumentsCar"/>
    <w:semiHidden/>
    <w:rsid w:val="00694219"/>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semiHidden/>
    <w:rsid w:val="00694219"/>
    <w:rPr>
      <w:rFonts w:ascii="Tahoma" w:eastAsia="Times New Roman" w:hAnsi="Tahoma" w:cs="Tahoma"/>
      <w:shd w:val="clear" w:color="auto" w:fill="000080"/>
      <w:lang w:eastAsia="fr-FR"/>
    </w:rPr>
  </w:style>
  <w:style w:type="paragraph" w:styleId="Notedebasdepage">
    <w:name w:val="footnote text"/>
    <w:basedOn w:val="Normal"/>
    <w:link w:val="NotedebasdepageCar"/>
    <w:rsid w:val="00694219"/>
    <w:rPr>
      <w:sz w:val="20"/>
      <w:szCs w:val="20"/>
    </w:rPr>
  </w:style>
  <w:style w:type="character" w:customStyle="1" w:styleId="NotedebasdepageCar">
    <w:name w:val="Note de bas de page Car"/>
    <w:basedOn w:val="Policepardfaut"/>
    <w:link w:val="Notedebasdepage"/>
    <w:rsid w:val="00694219"/>
    <w:rPr>
      <w:rFonts w:ascii="Times New Roman" w:eastAsia="Times New Roman" w:hAnsi="Times New Roman"/>
      <w:lang w:eastAsia="fr-FR"/>
    </w:rPr>
  </w:style>
  <w:style w:type="character" w:styleId="Appelnotedebasdep">
    <w:name w:val="footnote reference"/>
    <w:rsid w:val="00694219"/>
    <w:rPr>
      <w:vertAlign w:val="superscript"/>
    </w:rPr>
  </w:style>
  <w:style w:type="paragraph" w:styleId="NormalWeb">
    <w:name w:val="Normal (Web)"/>
    <w:basedOn w:val="Normal"/>
    <w:uiPriority w:val="99"/>
    <w:rsid w:val="00694219"/>
    <w:pPr>
      <w:spacing w:before="100" w:beforeAutospacing="1" w:after="100" w:afterAutospacing="1"/>
    </w:pPr>
  </w:style>
  <w:style w:type="table" w:styleId="Grilledutableau">
    <w:name w:val="Table Grid"/>
    <w:basedOn w:val="TableauNormal"/>
    <w:rsid w:val="00694219"/>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eNormalEspaceAprs">
    <w:name w:val="TexteNormalEspaceAprès"/>
    <w:uiPriority w:val="3"/>
    <w:qFormat/>
    <w:rsid w:val="00694219"/>
    <w:pPr>
      <w:keepNext/>
      <w:spacing w:after="200"/>
      <w:jc w:val="both"/>
    </w:pPr>
    <w:rPr>
      <w:rFonts w:ascii="Trebuchet MS" w:eastAsia="Calibri" w:hAnsi="Trebuchet MS" w:cs="Calibri"/>
      <w:iCs/>
      <w:color w:val="000000"/>
      <w:szCs w:val="23"/>
    </w:rPr>
  </w:style>
  <w:style w:type="paragraph" w:customStyle="1" w:styleId="Titresommaire">
    <w:name w:val="Titre sommaire"/>
    <w:qFormat/>
    <w:rsid w:val="00694219"/>
    <w:pPr>
      <w:spacing w:after="200" w:line="276" w:lineRule="auto"/>
      <w:jc w:val="center"/>
    </w:pPr>
    <w:rPr>
      <w:rFonts w:ascii="Trebuchet MS" w:eastAsia="Calibri" w:hAnsi="Trebuchet MS" w:cs="Calibri"/>
      <w:iCs/>
      <w:smallCaps/>
      <w:color w:val="C00000"/>
      <w:sz w:val="40"/>
      <w:szCs w:val="23"/>
    </w:rPr>
  </w:style>
  <w:style w:type="paragraph" w:customStyle="1" w:styleId="TITREPAGEDEGARDE">
    <w:name w:val="TITRE PAGE DE GARDE"/>
    <w:basedOn w:val="Normal"/>
    <w:qFormat/>
    <w:rsid w:val="003020C0"/>
    <w:pPr>
      <w:pBdr>
        <w:bottom w:val="single" w:sz="12" w:space="1" w:color="C00000"/>
      </w:pBdr>
      <w:autoSpaceDE w:val="0"/>
      <w:autoSpaceDN w:val="0"/>
      <w:adjustRightInd w:val="0"/>
      <w:spacing w:before="3240"/>
    </w:pPr>
    <w:rPr>
      <w:rFonts w:ascii="Trebuchet MS" w:eastAsia="Calibri" w:hAnsi="Trebuchet MS" w:cs="Calibri"/>
      <w:iCs/>
      <w:smallCaps/>
      <w:color w:val="6C7073"/>
      <w:sz w:val="72"/>
      <w:szCs w:val="64"/>
      <w:lang w:eastAsia="en-US"/>
    </w:rPr>
  </w:style>
  <w:style w:type="paragraph" w:customStyle="1" w:styleId="TITREPAGEDEGARDENIV3">
    <w:name w:val="TITRE PAGE DE GARDE NIV 3"/>
    <w:next w:val="Normal"/>
    <w:qFormat/>
    <w:rsid w:val="00694219"/>
    <w:pPr>
      <w:spacing w:after="200" w:line="276" w:lineRule="auto"/>
    </w:pPr>
    <w:rPr>
      <w:rFonts w:ascii="Trebuchet MS" w:eastAsia="Calibri" w:hAnsi="Trebuchet MS" w:cs="Calibri"/>
      <w:iCs/>
      <w:color w:val="000000"/>
      <w:sz w:val="24"/>
      <w:szCs w:val="23"/>
    </w:rPr>
  </w:style>
  <w:style w:type="paragraph" w:styleId="Paragraphedeliste">
    <w:name w:val="List Paragraph"/>
    <w:basedOn w:val="Normal"/>
    <w:uiPriority w:val="34"/>
    <w:qFormat/>
    <w:rsid w:val="00694219"/>
    <w:pPr>
      <w:ind w:left="708"/>
    </w:pPr>
  </w:style>
  <w:style w:type="numbering" w:customStyle="1" w:styleId="Aucuneliste1">
    <w:name w:val="Aucune liste1"/>
    <w:next w:val="Aucuneliste"/>
    <w:semiHidden/>
    <w:rsid w:val="00694219"/>
  </w:style>
  <w:style w:type="paragraph" w:styleId="Corpsdetexte">
    <w:name w:val="Body Text"/>
    <w:basedOn w:val="Normal"/>
    <w:link w:val="CorpsdetexteCar"/>
    <w:rsid w:val="00694219"/>
    <w:pPr>
      <w:tabs>
        <w:tab w:val="left" w:pos="3402"/>
      </w:tabs>
      <w:jc w:val="both"/>
    </w:pPr>
    <w:rPr>
      <w:rFonts w:ascii="Times" w:hAnsi="Times"/>
      <w:sz w:val="22"/>
      <w:szCs w:val="20"/>
    </w:rPr>
  </w:style>
  <w:style w:type="character" w:customStyle="1" w:styleId="CorpsdetexteCar">
    <w:name w:val="Corps de texte Car"/>
    <w:basedOn w:val="Policepardfaut"/>
    <w:link w:val="Corpsdetexte"/>
    <w:rsid w:val="00694219"/>
    <w:rPr>
      <w:rFonts w:ascii="Times" w:eastAsia="Times New Roman" w:hAnsi="Times"/>
      <w:sz w:val="22"/>
      <w:lang w:eastAsia="fr-FR"/>
    </w:rPr>
  </w:style>
  <w:style w:type="paragraph" w:styleId="Retraitcorpsdetexte">
    <w:name w:val="Body Text Indent"/>
    <w:basedOn w:val="Normal"/>
    <w:link w:val="RetraitcorpsdetexteCar"/>
    <w:rsid w:val="00694219"/>
    <w:pPr>
      <w:tabs>
        <w:tab w:val="num" w:pos="426"/>
        <w:tab w:val="left" w:leader="dot" w:pos="9632"/>
      </w:tabs>
      <w:ind w:left="426" w:hanging="426"/>
      <w:jc w:val="both"/>
    </w:pPr>
    <w:rPr>
      <w:rFonts w:ascii="Times" w:hAnsi="Times"/>
      <w:sz w:val="22"/>
      <w:szCs w:val="20"/>
    </w:rPr>
  </w:style>
  <w:style w:type="character" w:customStyle="1" w:styleId="RetraitcorpsdetexteCar">
    <w:name w:val="Retrait corps de texte Car"/>
    <w:basedOn w:val="Policepardfaut"/>
    <w:link w:val="Retraitcorpsdetexte"/>
    <w:rsid w:val="00694219"/>
    <w:rPr>
      <w:rFonts w:ascii="Times" w:eastAsia="Times New Roman" w:hAnsi="Times"/>
      <w:sz w:val="22"/>
      <w:lang w:eastAsia="fr-FR"/>
    </w:rPr>
  </w:style>
  <w:style w:type="paragraph" w:styleId="Retraitcorpsdetexte2">
    <w:name w:val="Body Text Indent 2"/>
    <w:basedOn w:val="Normal"/>
    <w:link w:val="Retraitcorpsdetexte2Car"/>
    <w:rsid w:val="00694219"/>
    <w:pPr>
      <w:ind w:left="567" w:hanging="567"/>
      <w:jc w:val="both"/>
    </w:pPr>
    <w:rPr>
      <w:rFonts w:ascii="Times" w:hAnsi="Times"/>
      <w:i/>
      <w:szCs w:val="20"/>
    </w:rPr>
  </w:style>
  <w:style w:type="character" w:customStyle="1" w:styleId="Retraitcorpsdetexte2Car">
    <w:name w:val="Retrait corps de texte 2 Car"/>
    <w:basedOn w:val="Policepardfaut"/>
    <w:link w:val="Retraitcorpsdetexte2"/>
    <w:rsid w:val="00694219"/>
    <w:rPr>
      <w:rFonts w:ascii="Times" w:eastAsia="Times New Roman" w:hAnsi="Times"/>
      <w:i/>
      <w:sz w:val="24"/>
      <w:lang w:eastAsia="fr-FR"/>
    </w:rPr>
  </w:style>
  <w:style w:type="character" w:styleId="Lienhypertexte">
    <w:name w:val="Hyperlink"/>
    <w:uiPriority w:val="99"/>
    <w:rsid w:val="00694219"/>
    <w:rPr>
      <w:color w:val="0000FF"/>
      <w:u w:val="single"/>
    </w:rPr>
  </w:style>
  <w:style w:type="paragraph" w:styleId="Corpsdetexte2">
    <w:name w:val="Body Text 2"/>
    <w:basedOn w:val="Normal"/>
    <w:link w:val="Corpsdetexte2Car"/>
    <w:rsid w:val="00694219"/>
    <w:pPr>
      <w:tabs>
        <w:tab w:val="decimal" w:leader="underscore" w:pos="567"/>
        <w:tab w:val="left" w:leader="dot" w:pos="9070"/>
      </w:tabs>
      <w:jc w:val="both"/>
    </w:pPr>
    <w:rPr>
      <w:rFonts w:ascii="Arial" w:hAnsi="Arial" w:cs="Arial"/>
      <w:sz w:val="20"/>
      <w:szCs w:val="20"/>
    </w:rPr>
  </w:style>
  <w:style w:type="character" w:customStyle="1" w:styleId="Corpsdetexte2Car">
    <w:name w:val="Corps de texte 2 Car"/>
    <w:basedOn w:val="Policepardfaut"/>
    <w:link w:val="Corpsdetexte2"/>
    <w:rsid w:val="00694219"/>
    <w:rPr>
      <w:rFonts w:ascii="Arial" w:eastAsia="Times New Roman" w:hAnsi="Arial" w:cs="Arial"/>
      <w:lang w:eastAsia="fr-FR"/>
    </w:rPr>
  </w:style>
  <w:style w:type="paragraph" w:customStyle="1" w:styleId="font0">
    <w:name w:val="font0"/>
    <w:basedOn w:val="Normal"/>
    <w:rsid w:val="00694219"/>
    <w:pPr>
      <w:spacing w:before="100" w:beforeAutospacing="1" w:after="100" w:afterAutospacing="1"/>
    </w:pPr>
    <w:rPr>
      <w:rFonts w:ascii="Arial" w:eastAsia="Arial Unicode MS" w:hAnsi="Arial" w:cs="Arial"/>
      <w:sz w:val="20"/>
      <w:szCs w:val="20"/>
    </w:rPr>
  </w:style>
  <w:style w:type="paragraph" w:customStyle="1" w:styleId="font5">
    <w:name w:val="font5"/>
    <w:basedOn w:val="Normal"/>
    <w:rsid w:val="00694219"/>
    <w:pPr>
      <w:spacing w:before="100" w:beforeAutospacing="1" w:after="100" w:afterAutospacing="1"/>
    </w:pPr>
    <w:rPr>
      <w:rFonts w:ascii="Arial" w:eastAsia="Arial Unicode MS" w:hAnsi="Arial" w:cs="Arial"/>
      <w:b/>
      <w:bCs/>
      <w:sz w:val="20"/>
      <w:szCs w:val="20"/>
    </w:rPr>
  </w:style>
  <w:style w:type="paragraph" w:customStyle="1" w:styleId="font6">
    <w:name w:val="font6"/>
    <w:basedOn w:val="Normal"/>
    <w:rsid w:val="00694219"/>
    <w:pPr>
      <w:spacing w:before="100" w:beforeAutospacing="1" w:after="100" w:afterAutospacing="1"/>
    </w:pPr>
    <w:rPr>
      <w:rFonts w:ascii="Arial" w:eastAsia="Arial Unicode MS" w:hAnsi="Arial" w:cs="Arial"/>
      <w:b/>
      <w:bCs/>
      <w:sz w:val="20"/>
      <w:szCs w:val="20"/>
      <w:u w:val="single"/>
    </w:rPr>
  </w:style>
  <w:style w:type="paragraph" w:customStyle="1" w:styleId="font7">
    <w:name w:val="font7"/>
    <w:basedOn w:val="Normal"/>
    <w:rsid w:val="00694219"/>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694219"/>
    <w:pPr>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al"/>
    <w:rsid w:val="00694219"/>
    <w:pPr>
      <w:pBdr>
        <w:lef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694219"/>
    <w:pP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694219"/>
    <w:pPr>
      <w:pBdr>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694219"/>
    <w:pPr>
      <w:pBdr>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9">
    <w:name w:val="xl29"/>
    <w:basedOn w:val="Normal"/>
    <w:rsid w:val="00694219"/>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694219"/>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694219"/>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694219"/>
    <w:pPr>
      <w:pBdr>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694219"/>
    <w:pPr>
      <w:pBdr>
        <w:left w:val="single" w:sz="4" w:space="0" w:color="auto"/>
        <w:right w:val="single" w:sz="4" w:space="0" w:color="auto"/>
      </w:pBdr>
      <w:spacing w:before="100" w:beforeAutospacing="1" w:after="100" w:afterAutospacing="1"/>
    </w:pPr>
    <w:rPr>
      <w:rFonts w:ascii="Arial" w:eastAsia="Arial Unicode MS" w:hAnsi="Arial" w:cs="Arial"/>
      <w:i/>
      <w:iCs/>
      <w:sz w:val="16"/>
      <w:szCs w:val="16"/>
    </w:rPr>
  </w:style>
  <w:style w:type="paragraph" w:customStyle="1" w:styleId="xl34">
    <w:name w:val="xl34"/>
    <w:basedOn w:val="Normal"/>
    <w:rsid w:val="00694219"/>
    <w:pPr>
      <w:spacing w:before="100" w:beforeAutospacing="1" w:after="100" w:afterAutospacing="1"/>
    </w:pPr>
    <w:rPr>
      <w:rFonts w:ascii="Arial" w:eastAsia="Arial Unicode MS" w:hAnsi="Arial" w:cs="Arial"/>
      <w:i/>
      <w:iCs/>
      <w:sz w:val="16"/>
      <w:szCs w:val="16"/>
    </w:rPr>
  </w:style>
  <w:style w:type="paragraph" w:customStyle="1" w:styleId="xl35">
    <w:name w:val="xl35"/>
    <w:basedOn w:val="Normal"/>
    <w:rsid w:val="00694219"/>
    <w:pPr>
      <w:pBdr>
        <w:top w:val="single" w:sz="4" w:space="0" w:color="auto"/>
        <w:lef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6">
    <w:name w:val="xl36"/>
    <w:basedOn w:val="Normal"/>
    <w:rsid w:val="00694219"/>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7">
    <w:name w:val="xl37"/>
    <w:basedOn w:val="Normal"/>
    <w:rsid w:val="0069421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38">
    <w:name w:val="xl38"/>
    <w:basedOn w:val="Normal"/>
    <w:rsid w:val="00694219"/>
    <w:pPr>
      <w:pBdr>
        <w:top w:val="single" w:sz="4" w:space="0" w:color="auto"/>
        <w:bottom w:val="single" w:sz="4" w:space="0" w:color="auto"/>
        <w:right w:val="single" w:sz="4" w:space="0" w:color="auto"/>
      </w:pBdr>
      <w:shd w:val="thinReverseDiagStripe" w:color="auto" w:fill="auto"/>
      <w:spacing w:before="100" w:beforeAutospacing="1" w:after="100" w:afterAutospacing="1"/>
    </w:pPr>
    <w:rPr>
      <w:rFonts w:ascii="Arial Unicode MS" w:eastAsia="Arial Unicode MS" w:hAnsi="Arial Unicode MS" w:cs="Arial Unicode MS"/>
    </w:rPr>
  </w:style>
  <w:style w:type="paragraph" w:customStyle="1" w:styleId="xl39">
    <w:name w:val="xl39"/>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0">
    <w:name w:val="xl40"/>
    <w:basedOn w:val="Normal"/>
    <w:rsid w:val="00694219"/>
    <w:pPr>
      <w:pBdr>
        <w:top w:val="single" w:sz="4" w:space="0" w:color="auto"/>
        <w:left w:val="single" w:sz="4" w:space="0" w:color="auto"/>
        <w:bottom w:val="single" w:sz="4" w:space="0" w:color="auto"/>
      </w:pBdr>
      <w:spacing w:before="100" w:beforeAutospacing="1" w:after="100" w:afterAutospacing="1"/>
      <w:jc w:val="right"/>
    </w:pPr>
    <w:rPr>
      <w:rFonts w:ascii="Arial" w:eastAsia="Arial Unicode MS" w:hAnsi="Arial" w:cs="Arial"/>
      <w:b/>
      <w:bCs/>
    </w:rPr>
  </w:style>
  <w:style w:type="paragraph" w:customStyle="1" w:styleId="xl41">
    <w:name w:val="xl41"/>
    <w:basedOn w:val="Normal"/>
    <w:rsid w:val="00694219"/>
    <w:pPr>
      <w:pBdr>
        <w:top w:val="single" w:sz="4" w:space="0" w:color="auto"/>
        <w:left w:val="single" w:sz="4" w:space="0" w:color="auto"/>
        <w:bottom w:val="single" w:sz="4" w:space="0" w:color="auto"/>
        <w:right w:val="single" w:sz="4" w:space="0" w:color="auto"/>
      </w:pBdr>
      <w:shd w:val="thinReverseDiagStripe" w:color="auto" w:fill="auto"/>
      <w:spacing w:before="100" w:beforeAutospacing="1" w:after="100" w:afterAutospacing="1"/>
    </w:pPr>
    <w:rPr>
      <w:rFonts w:ascii="Arial Unicode MS" w:eastAsia="Arial Unicode MS" w:hAnsi="Arial Unicode MS" w:cs="Arial Unicode MS"/>
    </w:rPr>
  </w:style>
  <w:style w:type="paragraph" w:customStyle="1" w:styleId="xl42">
    <w:name w:val="xl42"/>
    <w:basedOn w:val="Normal"/>
    <w:rsid w:val="00694219"/>
    <w:pPr>
      <w:pBdr>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43">
    <w:name w:val="xl43"/>
    <w:basedOn w:val="Normal"/>
    <w:rsid w:val="00694219"/>
    <w:pPr>
      <w:pBdr>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44">
    <w:name w:val="xl44"/>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45">
    <w:name w:val="xl45"/>
    <w:basedOn w:val="Normal"/>
    <w:rsid w:val="00694219"/>
    <w:pPr>
      <w:pBdr>
        <w:bottom w:val="single" w:sz="4" w:space="0" w:color="auto"/>
      </w:pBdr>
      <w:spacing w:before="100" w:beforeAutospacing="1" w:after="100" w:afterAutospacing="1"/>
      <w:jc w:val="center"/>
    </w:pPr>
    <w:rPr>
      <w:rFonts w:ascii="Arial" w:eastAsia="Arial Unicode MS" w:hAnsi="Arial" w:cs="Arial"/>
      <w:b/>
      <w:bCs/>
    </w:rPr>
  </w:style>
  <w:style w:type="paragraph" w:customStyle="1" w:styleId="xl46">
    <w:name w:val="xl46"/>
    <w:basedOn w:val="Normal"/>
    <w:rsid w:val="00694219"/>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47">
    <w:name w:val="xl47"/>
    <w:basedOn w:val="Normal"/>
    <w:rsid w:val="00694219"/>
    <w:pPr>
      <w:pBdr>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48">
    <w:name w:val="xl48"/>
    <w:basedOn w:val="Normal"/>
    <w:rsid w:val="00694219"/>
    <w:pPr>
      <w:pBdr>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49">
    <w:name w:val="xl49"/>
    <w:basedOn w:val="Normal"/>
    <w:rsid w:val="00694219"/>
    <w:pPr>
      <w:pBdr>
        <w:right w:val="single" w:sz="4" w:space="0" w:color="auto"/>
      </w:pBdr>
      <w:spacing w:before="100" w:beforeAutospacing="1" w:after="100" w:afterAutospacing="1"/>
      <w:jc w:val="center"/>
    </w:pPr>
    <w:rPr>
      <w:rFonts w:ascii="Arial" w:eastAsia="Arial Unicode MS" w:hAnsi="Arial" w:cs="Arial"/>
      <w:b/>
      <w:bCs/>
    </w:rPr>
  </w:style>
  <w:style w:type="paragraph" w:customStyle="1" w:styleId="xl50">
    <w:name w:val="xl50"/>
    <w:basedOn w:val="Normal"/>
    <w:rsid w:val="00694219"/>
    <w:pPr>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52">
    <w:name w:val="xl52"/>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53">
    <w:name w:val="xl53"/>
    <w:basedOn w:val="Normal"/>
    <w:rsid w:val="00694219"/>
    <w:pPr>
      <w:pBdr>
        <w:left w:val="single" w:sz="4" w:space="0" w:color="auto"/>
        <w:bottom w:val="single" w:sz="4" w:space="0" w:color="auto"/>
      </w:pBdr>
      <w:spacing w:before="100" w:beforeAutospacing="1" w:after="100" w:afterAutospacing="1"/>
      <w:jc w:val="right"/>
    </w:pPr>
    <w:rPr>
      <w:rFonts w:ascii="Arial" w:eastAsia="Arial Unicode MS" w:hAnsi="Arial" w:cs="Arial"/>
      <w:b/>
      <w:bCs/>
    </w:rPr>
  </w:style>
  <w:style w:type="paragraph" w:customStyle="1" w:styleId="xl54">
    <w:name w:val="xl54"/>
    <w:basedOn w:val="Normal"/>
    <w:rsid w:val="00694219"/>
    <w:pPr>
      <w:pBdr>
        <w:left w:val="single" w:sz="4" w:space="0" w:color="auto"/>
        <w:bottom w:val="single" w:sz="4" w:space="0" w:color="auto"/>
        <w:right w:val="single" w:sz="4" w:space="0" w:color="auto"/>
      </w:pBdr>
      <w:shd w:val="thinReverseDiagStripe" w:color="auto" w:fill="auto"/>
      <w:spacing w:before="100" w:beforeAutospacing="1" w:after="100" w:afterAutospacing="1"/>
    </w:pPr>
    <w:rPr>
      <w:rFonts w:ascii="Arial Unicode MS" w:eastAsia="Arial Unicode MS" w:hAnsi="Arial Unicode MS" w:cs="Arial Unicode MS"/>
    </w:rPr>
  </w:style>
  <w:style w:type="paragraph" w:customStyle="1" w:styleId="xl55">
    <w:name w:val="xl55"/>
    <w:basedOn w:val="Normal"/>
    <w:rsid w:val="00694219"/>
    <w:pPr>
      <w:pBdr>
        <w:left w:val="single" w:sz="4" w:space="0" w:color="auto"/>
        <w:bottom w:val="single" w:sz="4" w:space="0" w:color="auto"/>
      </w:pBdr>
      <w:shd w:val="thinReverseDiagStripe" w:color="auto" w:fill="auto"/>
      <w:spacing w:before="100" w:beforeAutospacing="1" w:after="100" w:afterAutospacing="1"/>
    </w:pPr>
    <w:rPr>
      <w:rFonts w:ascii="Arial Unicode MS" w:eastAsia="Arial Unicode MS" w:hAnsi="Arial Unicode MS" w:cs="Arial Unicode MS"/>
    </w:rPr>
  </w:style>
  <w:style w:type="paragraph" w:customStyle="1" w:styleId="xl56">
    <w:name w:val="xl56"/>
    <w:basedOn w:val="Normal"/>
    <w:rsid w:val="00694219"/>
    <w:pPr>
      <w:spacing w:before="100" w:beforeAutospacing="1" w:after="100" w:afterAutospacing="1"/>
      <w:textAlignment w:val="top"/>
    </w:pPr>
    <w:rPr>
      <w:rFonts w:ascii="Arial" w:eastAsia="Arial Unicode MS" w:hAnsi="Arial" w:cs="Arial"/>
      <w:i/>
      <w:iCs/>
      <w:sz w:val="16"/>
      <w:szCs w:val="16"/>
    </w:rPr>
  </w:style>
  <w:style w:type="paragraph" w:customStyle="1" w:styleId="xl57">
    <w:name w:val="xl57"/>
    <w:basedOn w:val="Normal"/>
    <w:rsid w:val="00694219"/>
    <w:pPr>
      <w:pBdr>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58">
    <w:name w:val="xl58"/>
    <w:basedOn w:val="Normal"/>
    <w:rsid w:val="00694219"/>
    <w:pPr>
      <w:pBdr>
        <w:top w:val="single" w:sz="4" w:space="0" w:color="auto"/>
        <w:left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59">
    <w:name w:val="xl59"/>
    <w:basedOn w:val="Normal"/>
    <w:rsid w:val="00694219"/>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60">
    <w:name w:val="xl60"/>
    <w:basedOn w:val="Normal"/>
    <w:rsid w:val="00694219"/>
    <w:pPr>
      <w:pBdr>
        <w:top w:val="single" w:sz="4" w:space="0" w:color="auto"/>
        <w:left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61">
    <w:name w:val="xl61"/>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694219"/>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63">
    <w:name w:val="xl63"/>
    <w:basedOn w:val="Normal"/>
    <w:rsid w:val="0069421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64">
    <w:name w:val="xl64"/>
    <w:basedOn w:val="Normal"/>
    <w:rsid w:val="00694219"/>
    <w:pPr>
      <w:pBdr>
        <w:top w:val="single" w:sz="8" w:space="0" w:color="auto"/>
        <w:left w:val="single" w:sz="8" w:space="0" w:color="auto"/>
        <w:bottom w:val="single" w:sz="8" w:space="0" w:color="auto"/>
      </w:pBdr>
      <w:spacing w:before="100" w:beforeAutospacing="1" w:after="100" w:afterAutospacing="1"/>
    </w:pPr>
    <w:rPr>
      <w:rFonts w:ascii="Arial Unicode MS" w:eastAsia="Arial Unicode MS" w:hAnsi="Arial Unicode MS" w:cs="Arial Unicode MS"/>
    </w:rPr>
  </w:style>
  <w:style w:type="paragraph" w:customStyle="1" w:styleId="xl65">
    <w:name w:val="xl65"/>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66">
    <w:name w:val="xl66"/>
    <w:basedOn w:val="Normal"/>
    <w:rsid w:val="00694219"/>
    <w:pPr>
      <w:pBdr>
        <w:top w:val="single" w:sz="4" w:space="0" w:color="auto"/>
        <w:left w:val="single" w:sz="4"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67">
    <w:name w:val="xl67"/>
    <w:basedOn w:val="Normal"/>
    <w:rsid w:val="00694219"/>
    <w:pPr>
      <w:pBdr>
        <w:top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68">
    <w:name w:val="xl68"/>
    <w:basedOn w:val="Normal"/>
    <w:rsid w:val="00694219"/>
    <w:pPr>
      <w:pBdr>
        <w:top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69">
    <w:name w:val="xl69"/>
    <w:basedOn w:val="Normal"/>
    <w:rsid w:val="00694219"/>
    <w:pPr>
      <w:pBdr>
        <w:top w:val="single" w:sz="4" w:space="0" w:color="auto"/>
        <w:left w:val="single" w:sz="4" w:space="0" w:color="auto"/>
        <w:bottom w:val="single" w:sz="4" w:space="0" w:color="auto"/>
        <w:right w:val="single" w:sz="4" w:space="0" w:color="auto"/>
      </w:pBdr>
      <w:shd w:val="thinReverseDiagStripe" w:color="auto" w:fill="auto"/>
      <w:spacing w:before="100" w:beforeAutospacing="1" w:after="100" w:afterAutospacing="1"/>
      <w:jc w:val="center"/>
    </w:pPr>
    <w:rPr>
      <w:rFonts w:ascii="Arial Unicode MS" w:eastAsia="Arial Unicode MS" w:hAnsi="Arial Unicode MS" w:cs="Arial Unicode MS"/>
    </w:rPr>
  </w:style>
  <w:style w:type="paragraph" w:customStyle="1" w:styleId="xl70">
    <w:name w:val="xl70"/>
    <w:basedOn w:val="Normal"/>
    <w:rsid w:val="00694219"/>
    <w:pPr>
      <w:spacing w:before="100" w:beforeAutospacing="1" w:after="100" w:afterAutospacing="1"/>
      <w:jc w:val="center"/>
      <w:textAlignment w:val="top"/>
    </w:pPr>
    <w:rPr>
      <w:rFonts w:ascii="Arial Unicode MS" w:eastAsia="Arial Unicode MS" w:hAnsi="Arial Unicode MS" w:cs="Arial Unicode MS"/>
    </w:rPr>
  </w:style>
  <w:style w:type="paragraph" w:customStyle="1" w:styleId="xl71">
    <w:name w:val="xl71"/>
    <w:basedOn w:val="Normal"/>
    <w:rsid w:val="00694219"/>
    <w:pPr>
      <w:spacing w:before="100" w:beforeAutospacing="1" w:after="100" w:afterAutospacing="1"/>
      <w:jc w:val="both"/>
      <w:textAlignment w:val="top"/>
    </w:pPr>
    <w:rPr>
      <w:rFonts w:ascii="Arial" w:eastAsia="Arial Unicode MS" w:hAnsi="Arial" w:cs="Arial"/>
      <w:i/>
      <w:iCs/>
      <w:sz w:val="16"/>
      <w:szCs w:val="16"/>
    </w:rPr>
  </w:style>
  <w:style w:type="paragraph" w:customStyle="1" w:styleId="xl72">
    <w:name w:val="xl72"/>
    <w:basedOn w:val="Normal"/>
    <w:rsid w:val="00694219"/>
    <w:pPr>
      <w:pBdr>
        <w:top w:val="single" w:sz="8" w:space="0" w:color="auto"/>
        <w:left w:val="single" w:sz="8" w:space="0" w:color="auto"/>
      </w:pBdr>
      <w:spacing w:before="100" w:beforeAutospacing="1" w:after="100" w:afterAutospacing="1"/>
      <w:jc w:val="center"/>
      <w:textAlignment w:val="top"/>
    </w:pPr>
    <w:rPr>
      <w:rFonts w:ascii="Arial" w:eastAsia="Arial Unicode MS" w:hAnsi="Arial" w:cs="Arial"/>
      <w:b/>
      <w:bCs/>
    </w:rPr>
  </w:style>
  <w:style w:type="paragraph" w:customStyle="1" w:styleId="xl73">
    <w:name w:val="xl73"/>
    <w:basedOn w:val="Normal"/>
    <w:rsid w:val="00694219"/>
    <w:pPr>
      <w:pBdr>
        <w:top w:val="single" w:sz="8" w:space="0" w:color="auto"/>
        <w:right w:val="single" w:sz="8" w:space="0" w:color="auto"/>
      </w:pBdr>
      <w:spacing w:before="100" w:beforeAutospacing="1" w:after="100" w:afterAutospacing="1"/>
      <w:jc w:val="center"/>
      <w:textAlignment w:val="top"/>
    </w:pPr>
    <w:rPr>
      <w:rFonts w:ascii="Arial" w:eastAsia="Arial Unicode MS" w:hAnsi="Arial" w:cs="Arial"/>
      <w:b/>
      <w:bCs/>
    </w:rPr>
  </w:style>
  <w:style w:type="paragraph" w:customStyle="1" w:styleId="xl74">
    <w:name w:val="xl74"/>
    <w:basedOn w:val="Normal"/>
    <w:rsid w:val="00694219"/>
    <w:pPr>
      <w:pBdr>
        <w:left w:val="single" w:sz="8" w:space="0" w:color="auto"/>
        <w:bottom w:val="single" w:sz="8" w:space="0" w:color="auto"/>
      </w:pBdr>
      <w:spacing w:before="100" w:beforeAutospacing="1" w:after="100" w:afterAutospacing="1"/>
      <w:jc w:val="center"/>
      <w:textAlignment w:val="top"/>
    </w:pPr>
    <w:rPr>
      <w:rFonts w:ascii="Arial" w:eastAsia="Arial Unicode MS" w:hAnsi="Arial" w:cs="Arial"/>
      <w:b/>
      <w:bCs/>
    </w:rPr>
  </w:style>
  <w:style w:type="paragraph" w:customStyle="1" w:styleId="xl75">
    <w:name w:val="xl75"/>
    <w:basedOn w:val="Normal"/>
    <w:rsid w:val="00694219"/>
    <w:pPr>
      <w:pBdr>
        <w:bottom w:val="single" w:sz="8" w:space="0" w:color="auto"/>
        <w:right w:val="single" w:sz="8" w:space="0" w:color="auto"/>
      </w:pBdr>
      <w:spacing w:before="100" w:beforeAutospacing="1" w:after="100" w:afterAutospacing="1"/>
      <w:jc w:val="center"/>
      <w:textAlignment w:val="top"/>
    </w:pPr>
    <w:rPr>
      <w:rFonts w:ascii="Arial" w:eastAsia="Arial Unicode MS" w:hAnsi="Arial" w:cs="Arial"/>
      <w:b/>
      <w:bCs/>
    </w:rPr>
  </w:style>
  <w:style w:type="paragraph" w:customStyle="1" w:styleId="xl76">
    <w:name w:val="xl76"/>
    <w:basedOn w:val="Normal"/>
    <w:rsid w:val="00694219"/>
    <w:pPr>
      <w:pBdr>
        <w:top w:val="single" w:sz="4" w:space="0" w:color="auto"/>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77">
    <w:name w:val="xl77"/>
    <w:basedOn w:val="Normal"/>
    <w:rsid w:val="00694219"/>
    <w:pPr>
      <w:pBdr>
        <w:top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78">
    <w:name w:val="xl78"/>
    <w:basedOn w:val="Normal"/>
    <w:rsid w:val="00694219"/>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79">
    <w:name w:val="xl79"/>
    <w:basedOn w:val="Normal"/>
    <w:rsid w:val="00694219"/>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80">
    <w:name w:val="xl80"/>
    <w:basedOn w:val="Normal"/>
    <w:rsid w:val="00694219"/>
    <w:pPr>
      <w:pBdr>
        <w:top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81">
    <w:name w:val="xl81"/>
    <w:basedOn w:val="Normal"/>
    <w:rsid w:val="00694219"/>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82">
    <w:name w:val="xl82"/>
    <w:basedOn w:val="Normal"/>
    <w:rsid w:val="00694219"/>
    <w:pPr>
      <w:pBdr>
        <w:top w:val="single" w:sz="4" w:space="0" w:color="auto"/>
        <w:left w:val="single" w:sz="4" w:space="0" w:color="auto"/>
        <w:bottom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83">
    <w:name w:val="xl83"/>
    <w:basedOn w:val="Normal"/>
    <w:rsid w:val="00694219"/>
    <w:pPr>
      <w:pBdr>
        <w:top w:val="single" w:sz="4" w:space="0" w:color="auto"/>
        <w:bottom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84">
    <w:name w:val="xl84"/>
    <w:basedOn w:val="Normal"/>
    <w:rsid w:val="00694219"/>
    <w:pPr>
      <w:pBdr>
        <w:top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85">
    <w:name w:val="xl85"/>
    <w:basedOn w:val="Normal"/>
    <w:rsid w:val="00694219"/>
    <w:pPr>
      <w:pBdr>
        <w:top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86">
    <w:name w:val="xl86"/>
    <w:basedOn w:val="Normal"/>
    <w:rsid w:val="00694219"/>
    <w:pPr>
      <w:pBdr>
        <w:top w:val="single" w:sz="4" w:space="0" w:color="auto"/>
        <w:lef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87">
    <w:name w:val="xl87"/>
    <w:basedOn w:val="Normal"/>
    <w:rsid w:val="00694219"/>
    <w:pPr>
      <w:pBdr>
        <w:top w:val="single" w:sz="8" w:space="0" w:color="auto"/>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88">
    <w:name w:val="xl88"/>
    <w:basedOn w:val="Normal"/>
    <w:rsid w:val="00694219"/>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89">
    <w:name w:val="xl89"/>
    <w:basedOn w:val="Normal"/>
    <w:rsid w:val="00694219"/>
    <w:pPr>
      <w:pBdr>
        <w:top w:val="single" w:sz="8"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90">
    <w:name w:val="xl90"/>
    <w:basedOn w:val="Normal"/>
    <w:rsid w:val="00694219"/>
    <w:pPr>
      <w:pBdr>
        <w:top w:val="single" w:sz="8" w:space="0" w:color="auto"/>
        <w:right w:val="single" w:sz="8"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91">
    <w:name w:val="xl91"/>
    <w:basedOn w:val="Normal"/>
    <w:rsid w:val="00694219"/>
    <w:pPr>
      <w:pBdr>
        <w:bottom w:val="single" w:sz="8"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92">
    <w:name w:val="xl92"/>
    <w:basedOn w:val="Normal"/>
    <w:rsid w:val="00694219"/>
    <w:pPr>
      <w:pBdr>
        <w:bottom w:val="single" w:sz="8" w:space="0" w:color="auto"/>
        <w:right w:val="single" w:sz="8"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93">
    <w:name w:val="xl93"/>
    <w:basedOn w:val="Normal"/>
    <w:rsid w:val="00694219"/>
    <w:pPr>
      <w:pBdr>
        <w:top w:val="single" w:sz="4" w:space="0" w:color="auto"/>
        <w:left w:val="single" w:sz="4" w:space="0" w:color="auto"/>
        <w:bottom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4">
    <w:name w:val="xl94"/>
    <w:basedOn w:val="Normal"/>
    <w:rsid w:val="00694219"/>
    <w:pPr>
      <w:pBdr>
        <w:top w:val="single" w:sz="4" w:space="0" w:color="auto"/>
        <w:bottom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5">
    <w:name w:val="xl95"/>
    <w:basedOn w:val="Normal"/>
    <w:rsid w:val="00694219"/>
    <w:pPr>
      <w:pBdr>
        <w:top w:val="single" w:sz="4" w:space="0" w:color="auto"/>
        <w:bottom w:val="single" w:sz="8"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96">
    <w:name w:val="xl96"/>
    <w:basedOn w:val="Normal"/>
    <w:rsid w:val="00694219"/>
    <w:pPr>
      <w:pBdr>
        <w:top w:val="single" w:sz="8" w:space="0" w:color="auto"/>
        <w:left w:val="single" w:sz="8" w:space="0" w:color="auto"/>
        <w:bottom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7">
    <w:name w:val="xl97"/>
    <w:basedOn w:val="Normal"/>
    <w:rsid w:val="00694219"/>
    <w:pPr>
      <w:pBdr>
        <w:top w:val="single" w:sz="8" w:space="0" w:color="auto"/>
        <w:bottom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8">
    <w:name w:val="xl98"/>
    <w:basedOn w:val="Normal"/>
    <w:rsid w:val="00694219"/>
    <w:pPr>
      <w:pBdr>
        <w:top w:val="single" w:sz="8" w:space="0" w:color="auto"/>
        <w:bottom w:val="single" w:sz="8" w:space="0" w:color="auto"/>
        <w:right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9">
    <w:name w:val="xl99"/>
    <w:basedOn w:val="Normal"/>
    <w:rsid w:val="00694219"/>
    <w:pPr>
      <w:spacing w:before="100" w:beforeAutospacing="1" w:after="100" w:afterAutospacing="1"/>
    </w:pPr>
    <w:rPr>
      <w:rFonts w:ascii="Arial" w:eastAsia="Arial Unicode MS" w:hAnsi="Arial" w:cs="Arial"/>
      <w:b/>
      <w:bCs/>
    </w:rPr>
  </w:style>
  <w:style w:type="paragraph" w:styleId="Titre">
    <w:name w:val="Title"/>
    <w:basedOn w:val="Titre1complet"/>
    <w:next w:val="Titre1complet"/>
    <w:link w:val="TitreCar"/>
    <w:qFormat/>
    <w:rsid w:val="00694219"/>
    <w:rPr>
      <w:rFonts w:ascii="Times" w:hAnsi="Times"/>
      <w:b w:val="0"/>
      <w:szCs w:val="20"/>
    </w:rPr>
  </w:style>
  <w:style w:type="character" w:customStyle="1" w:styleId="TitreCar">
    <w:name w:val="Titre Car"/>
    <w:basedOn w:val="Policepardfaut"/>
    <w:link w:val="Titre"/>
    <w:rsid w:val="00694219"/>
    <w:rPr>
      <w:rFonts w:ascii="Times" w:eastAsia="Arial Unicode MS" w:hAnsi="Times" w:cs="Courier New"/>
      <w:bCs/>
      <w:shadow/>
      <w:sz w:val="28"/>
      <w:lang w:eastAsia="fr-FR"/>
    </w:rPr>
  </w:style>
  <w:style w:type="character" w:customStyle="1" w:styleId="TitreAnnexe">
    <w:name w:val="Titre Annexe"/>
    <w:qFormat/>
    <w:rsid w:val="00694219"/>
    <w:rPr>
      <w:rFonts w:ascii="Trebuchet MS" w:hAnsi="Trebuchet MS" w:cs="Arial"/>
      <w:b/>
      <w:color w:val="C00000"/>
      <w:sz w:val="20"/>
      <w:szCs w:val="18"/>
    </w:rPr>
  </w:style>
  <w:style w:type="numbering" w:customStyle="1" w:styleId="Annexe">
    <w:name w:val="Annexe"/>
    <w:rsid w:val="00694219"/>
    <w:pPr>
      <w:numPr>
        <w:numId w:val="158"/>
      </w:numPr>
    </w:pPr>
  </w:style>
  <w:style w:type="paragraph" w:styleId="TM2">
    <w:name w:val="toc 2"/>
    <w:basedOn w:val="Normal"/>
    <w:next w:val="Normal"/>
    <w:autoRedefine/>
    <w:uiPriority w:val="39"/>
    <w:rsid w:val="00B5380B"/>
    <w:pPr>
      <w:tabs>
        <w:tab w:val="right" w:leader="dot" w:pos="9629"/>
      </w:tabs>
      <w:spacing w:before="120"/>
    </w:pPr>
    <w:rPr>
      <w:rFonts w:ascii="Calibri" w:hAnsi="Calibri" w:cs="Calibri"/>
      <w:b/>
      <w:bCs/>
      <w:sz w:val="20"/>
      <w:szCs w:val="20"/>
    </w:rPr>
  </w:style>
  <w:style w:type="paragraph" w:styleId="TM1">
    <w:name w:val="toc 1"/>
    <w:basedOn w:val="Normal"/>
    <w:next w:val="Normal"/>
    <w:autoRedefine/>
    <w:uiPriority w:val="39"/>
    <w:rsid w:val="00FF02D7"/>
    <w:pPr>
      <w:tabs>
        <w:tab w:val="right" w:leader="dot" w:pos="9639"/>
      </w:tabs>
      <w:spacing w:before="120"/>
    </w:pPr>
    <w:rPr>
      <w:rFonts w:ascii="Trebuchet MS" w:hAnsi="Trebuchet MS"/>
      <w:b/>
      <w:bCs/>
      <w:noProof/>
      <w:color w:val="808080"/>
      <w:sz w:val="20"/>
    </w:rPr>
  </w:style>
  <w:style w:type="paragraph" w:styleId="TM3">
    <w:name w:val="toc 3"/>
    <w:basedOn w:val="Normal"/>
    <w:next w:val="Normal"/>
    <w:autoRedefine/>
    <w:uiPriority w:val="39"/>
    <w:rsid w:val="00694219"/>
    <w:pPr>
      <w:ind w:left="240"/>
    </w:pPr>
    <w:rPr>
      <w:rFonts w:ascii="Calibri" w:hAnsi="Calibri" w:cs="Calibri"/>
      <w:sz w:val="20"/>
      <w:szCs w:val="20"/>
    </w:rPr>
  </w:style>
  <w:style w:type="paragraph" w:styleId="TM6">
    <w:name w:val="toc 6"/>
    <w:basedOn w:val="Normal"/>
    <w:next w:val="Normal"/>
    <w:autoRedefine/>
    <w:uiPriority w:val="39"/>
    <w:rsid w:val="00694219"/>
    <w:pPr>
      <w:ind w:left="960"/>
    </w:pPr>
    <w:rPr>
      <w:rFonts w:ascii="Calibri" w:hAnsi="Calibri" w:cs="Calibri"/>
      <w:sz w:val="20"/>
      <w:szCs w:val="20"/>
    </w:rPr>
  </w:style>
  <w:style w:type="paragraph" w:customStyle="1" w:styleId="titre4i">
    <w:name w:val="titre 4 i"/>
    <w:basedOn w:val="Normal"/>
    <w:rsid w:val="00694219"/>
    <w:pPr>
      <w:numPr>
        <w:numId w:val="9"/>
      </w:numPr>
      <w:tabs>
        <w:tab w:val="clear" w:pos="360"/>
      </w:tabs>
      <w:ind w:left="1134" w:hanging="567"/>
      <w:jc w:val="both"/>
      <w:outlineLvl w:val="3"/>
    </w:pPr>
    <w:rPr>
      <w:rFonts w:ascii="Times" w:hAnsi="Times" w:cs="Times"/>
      <w:b/>
      <w:bCs/>
    </w:rPr>
  </w:style>
  <w:style w:type="paragraph" w:customStyle="1" w:styleId="Titre81">
    <w:name w:val="Titre 81"/>
    <w:basedOn w:val="Paragraphedeliste"/>
    <w:next w:val="Normal"/>
    <w:unhideWhenUsed/>
    <w:qFormat/>
    <w:rsid w:val="00694219"/>
    <w:pPr>
      <w:autoSpaceDE w:val="0"/>
      <w:autoSpaceDN w:val="0"/>
      <w:adjustRightInd w:val="0"/>
      <w:spacing w:before="200"/>
      <w:ind w:left="993" w:hanging="426"/>
      <w:contextualSpacing/>
      <w:jc w:val="both"/>
      <w:outlineLvl w:val="7"/>
    </w:pPr>
    <w:rPr>
      <w:rFonts w:ascii="Trebuchet MS" w:eastAsia="Calibri" w:hAnsi="Trebuchet MS" w:cs="Calibri"/>
      <w:b/>
      <w:iCs/>
      <w:color w:val="6C7073"/>
      <w:sz w:val="20"/>
      <w:szCs w:val="23"/>
      <w:lang w:eastAsia="en-US"/>
    </w:rPr>
  </w:style>
  <w:style w:type="paragraph" w:customStyle="1" w:styleId="Titre91">
    <w:name w:val="Titre 91"/>
    <w:basedOn w:val="Normal"/>
    <w:next w:val="Normal"/>
    <w:unhideWhenUsed/>
    <w:qFormat/>
    <w:rsid w:val="00694219"/>
    <w:pPr>
      <w:tabs>
        <w:tab w:val="num" w:pos="720"/>
      </w:tabs>
      <w:autoSpaceDE w:val="0"/>
      <w:autoSpaceDN w:val="0"/>
      <w:adjustRightInd w:val="0"/>
      <w:spacing w:before="200"/>
      <w:ind w:left="993" w:hanging="426"/>
      <w:jc w:val="both"/>
      <w:outlineLvl w:val="8"/>
    </w:pPr>
    <w:rPr>
      <w:rFonts w:ascii="Trebuchet MS" w:eastAsia="Calibri" w:hAnsi="Trebuchet MS" w:cs="Calibri"/>
      <w:b/>
      <w:iCs/>
      <w:color w:val="A4A7AA"/>
      <w:sz w:val="20"/>
      <w:szCs w:val="23"/>
      <w:lang w:eastAsia="en-US"/>
    </w:rPr>
  </w:style>
  <w:style w:type="numbering" w:customStyle="1" w:styleId="Aucuneliste2">
    <w:name w:val="Aucune liste2"/>
    <w:next w:val="Aucuneliste"/>
    <w:uiPriority w:val="99"/>
    <w:semiHidden/>
    <w:unhideWhenUsed/>
    <w:rsid w:val="00694219"/>
  </w:style>
  <w:style w:type="paragraph" w:customStyle="1" w:styleId="Sansinterligne1">
    <w:name w:val="Sans interligne1"/>
    <w:next w:val="Sansinterligne"/>
    <w:uiPriority w:val="1"/>
    <w:qFormat/>
    <w:rsid w:val="00694219"/>
    <w:rPr>
      <w:rFonts w:ascii="Calibri" w:eastAsia="Times New Roman" w:hAnsi="Calibri"/>
      <w:sz w:val="22"/>
      <w:szCs w:val="22"/>
      <w:lang w:eastAsia="fr-FR"/>
    </w:rPr>
  </w:style>
  <w:style w:type="character" w:customStyle="1" w:styleId="SansinterligneCar">
    <w:name w:val="Sans interligne Car"/>
    <w:uiPriority w:val="1"/>
    <w:rsid w:val="00694219"/>
    <w:rPr>
      <w:rFonts w:eastAsia="Times New Roman"/>
      <w:lang w:eastAsia="fr-FR"/>
    </w:rPr>
  </w:style>
  <w:style w:type="paragraph" w:styleId="Corpsdetexte3">
    <w:name w:val="Body Text 3"/>
    <w:basedOn w:val="Normal"/>
    <w:link w:val="Corpsdetexte3Car"/>
    <w:unhideWhenUsed/>
    <w:rsid w:val="00694219"/>
    <w:pPr>
      <w:autoSpaceDE w:val="0"/>
      <w:autoSpaceDN w:val="0"/>
      <w:adjustRightInd w:val="0"/>
      <w:spacing w:before="200" w:after="120"/>
      <w:jc w:val="both"/>
    </w:pPr>
    <w:rPr>
      <w:rFonts w:ascii="Trebuchet MS" w:eastAsia="Calibri" w:hAnsi="Trebuchet MS" w:cs="Calibri"/>
      <w:iCs/>
      <w:color w:val="000000"/>
      <w:sz w:val="16"/>
      <w:szCs w:val="16"/>
      <w:lang w:eastAsia="en-US"/>
    </w:rPr>
  </w:style>
  <w:style w:type="character" w:customStyle="1" w:styleId="Corpsdetexte3Car">
    <w:name w:val="Corps de texte 3 Car"/>
    <w:basedOn w:val="Policepardfaut"/>
    <w:link w:val="Corpsdetexte3"/>
    <w:rsid w:val="00694219"/>
    <w:rPr>
      <w:rFonts w:ascii="Trebuchet MS" w:eastAsia="Calibri" w:hAnsi="Trebuchet MS" w:cs="Calibri"/>
      <w:iCs/>
      <w:color w:val="000000"/>
      <w:sz w:val="16"/>
      <w:szCs w:val="16"/>
    </w:rPr>
  </w:style>
  <w:style w:type="character" w:styleId="Marquedecommentaire">
    <w:name w:val="annotation reference"/>
    <w:unhideWhenUsed/>
    <w:rsid w:val="00694219"/>
    <w:rPr>
      <w:sz w:val="16"/>
      <w:szCs w:val="16"/>
    </w:rPr>
  </w:style>
  <w:style w:type="paragraph" w:styleId="Commentaire">
    <w:name w:val="annotation text"/>
    <w:basedOn w:val="Normal"/>
    <w:link w:val="CommentaireCar"/>
    <w:unhideWhenUsed/>
    <w:rsid w:val="00694219"/>
    <w:pPr>
      <w:autoSpaceDE w:val="0"/>
      <w:autoSpaceDN w:val="0"/>
      <w:adjustRightInd w:val="0"/>
      <w:spacing w:before="200"/>
      <w:jc w:val="both"/>
    </w:pPr>
    <w:rPr>
      <w:rFonts w:ascii="Trebuchet MS" w:eastAsia="Calibri" w:hAnsi="Trebuchet MS" w:cs="Calibri"/>
      <w:iCs/>
      <w:color w:val="000000"/>
      <w:sz w:val="20"/>
      <w:szCs w:val="20"/>
      <w:lang w:eastAsia="en-US"/>
    </w:rPr>
  </w:style>
  <w:style w:type="character" w:customStyle="1" w:styleId="CommentaireCar">
    <w:name w:val="Commentaire Car"/>
    <w:basedOn w:val="Policepardfaut"/>
    <w:link w:val="Commentaire"/>
    <w:rsid w:val="00694219"/>
    <w:rPr>
      <w:rFonts w:ascii="Trebuchet MS" w:eastAsia="Calibri" w:hAnsi="Trebuchet MS" w:cs="Calibri"/>
      <w:iCs/>
      <w:color w:val="000000"/>
    </w:rPr>
  </w:style>
  <w:style w:type="paragraph" w:styleId="Objetducommentaire">
    <w:name w:val="annotation subject"/>
    <w:basedOn w:val="Commentaire"/>
    <w:next w:val="Commentaire"/>
    <w:link w:val="ObjetducommentaireCar"/>
    <w:unhideWhenUsed/>
    <w:rsid w:val="00694219"/>
    <w:rPr>
      <w:b/>
      <w:bCs/>
    </w:rPr>
  </w:style>
  <w:style w:type="character" w:customStyle="1" w:styleId="ObjetducommentaireCar">
    <w:name w:val="Objet du commentaire Car"/>
    <w:basedOn w:val="CommentaireCar"/>
    <w:link w:val="Objetducommentaire"/>
    <w:rsid w:val="00694219"/>
    <w:rPr>
      <w:rFonts w:ascii="Trebuchet MS" w:eastAsia="Calibri" w:hAnsi="Trebuchet MS" w:cs="Calibri"/>
      <w:b/>
      <w:bCs/>
      <w:iCs/>
      <w:color w:val="000000"/>
    </w:rPr>
  </w:style>
  <w:style w:type="paragraph" w:customStyle="1" w:styleId="Default">
    <w:name w:val="Default"/>
    <w:rsid w:val="00694219"/>
    <w:pPr>
      <w:autoSpaceDE w:val="0"/>
      <w:autoSpaceDN w:val="0"/>
      <w:adjustRightInd w:val="0"/>
    </w:pPr>
    <w:rPr>
      <w:rFonts w:ascii="Corbel" w:eastAsia="Calibri" w:hAnsi="Corbel" w:cs="Corbel"/>
      <w:color w:val="000000"/>
      <w:sz w:val="24"/>
      <w:szCs w:val="24"/>
    </w:rPr>
  </w:style>
  <w:style w:type="table" w:customStyle="1" w:styleId="Grilledutableau1">
    <w:name w:val="Grille du tableau1"/>
    <w:basedOn w:val="TableauNormal"/>
    <w:next w:val="Grilledutableau"/>
    <w:rsid w:val="00694219"/>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ld">
    <w:name w:val="bold"/>
    <w:rsid w:val="00694219"/>
    <w:rPr>
      <w:b/>
    </w:rPr>
  </w:style>
  <w:style w:type="paragraph" w:styleId="TM4">
    <w:name w:val="toc 4"/>
    <w:basedOn w:val="TM5"/>
    <w:next w:val="Normal"/>
    <w:autoRedefine/>
    <w:uiPriority w:val="39"/>
    <w:unhideWhenUsed/>
    <w:rsid w:val="00694219"/>
    <w:pPr>
      <w:ind w:left="480"/>
    </w:pPr>
  </w:style>
  <w:style w:type="paragraph" w:styleId="En-ttedetabledesmatires">
    <w:name w:val="TOC Heading"/>
    <w:basedOn w:val="Titre1"/>
    <w:next w:val="Normal"/>
    <w:uiPriority w:val="39"/>
    <w:semiHidden/>
    <w:unhideWhenUsed/>
    <w:qFormat/>
    <w:rsid w:val="00694219"/>
    <w:pPr>
      <w:pBdr>
        <w:bottom w:val="single" w:sz="12" w:space="10" w:color="C00000"/>
      </w:pBdr>
      <w:autoSpaceDE w:val="0"/>
      <w:autoSpaceDN w:val="0"/>
      <w:adjustRightInd w:val="0"/>
      <w:spacing w:before="1800"/>
      <w:ind w:left="0" w:firstLine="0"/>
      <w:jc w:val="left"/>
      <w:outlineLvl w:val="9"/>
    </w:pPr>
    <w:rPr>
      <w:rFonts w:eastAsia="Calibri"/>
      <w:iCs w:val="0"/>
      <w:smallCaps w:val="0"/>
      <w:color w:val="6C7073"/>
      <w:sz w:val="68"/>
      <w:szCs w:val="68"/>
    </w:rPr>
  </w:style>
  <w:style w:type="paragraph" w:styleId="Citation">
    <w:name w:val="Quote"/>
    <w:next w:val="Normal"/>
    <w:link w:val="CitationCar"/>
    <w:uiPriority w:val="29"/>
    <w:qFormat/>
    <w:rsid w:val="00694219"/>
    <w:pPr>
      <w:shd w:val="clear" w:color="auto" w:fill="DFE0E1"/>
      <w:jc w:val="both"/>
    </w:pPr>
    <w:rPr>
      <w:rFonts w:ascii="Trebuchet MS" w:eastAsia="Calibri" w:hAnsi="Trebuchet MS" w:cs="Calibri"/>
      <w:i/>
      <w:iCs/>
      <w:color w:val="000000"/>
      <w:szCs w:val="23"/>
    </w:rPr>
  </w:style>
  <w:style w:type="character" w:customStyle="1" w:styleId="CitationCar">
    <w:name w:val="Citation Car"/>
    <w:basedOn w:val="Policepardfaut"/>
    <w:link w:val="Citation"/>
    <w:uiPriority w:val="29"/>
    <w:rsid w:val="00694219"/>
    <w:rPr>
      <w:rFonts w:ascii="Trebuchet MS" w:eastAsia="Calibri" w:hAnsi="Trebuchet MS" w:cs="Calibri"/>
      <w:i/>
      <w:iCs/>
      <w:color w:val="000000"/>
      <w:szCs w:val="23"/>
      <w:shd w:val="clear" w:color="auto" w:fill="DFE0E1"/>
    </w:rPr>
  </w:style>
  <w:style w:type="paragraph" w:customStyle="1" w:styleId="Articles-Textesofficiels">
    <w:name w:val="Articles - Textes officiels"/>
    <w:qFormat/>
    <w:rsid w:val="00694219"/>
    <w:pPr>
      <w:spacing w:before="200" w:after="60"/>
      <w:jc w:val="both"/>
    </w:pPr>
    <w:rPr>
      <w:rFonts w:ascii="Trebuchet MS" w:eastAsia="Calibri" w:hAnsi="Trebuchet MS" w:cs="Calibri"/>
      <w:i/>
      <w:iCs/>
      <w:color w:val="000000"/>
      <w:szCs w:val="23"/>
    </w:rPr>
  </w:style>
  <w:style w:type="paragraph" w:customStyle="1" w:styleId="Sous-titre1">
    <w:name w:val="Sous-titre1"/>
    <w:basedOn w:val="Normal"/>
    <w:next w:val="Normal"/>
    <w:uiPriority w:val="11"/>
    <w:qFormat/>
    <w:rsid w:val="00694219"/>
    <w:pPr>
      <w:numPr>
        <w:ilvl w:val="1"/>
      </w:numPr>
      <w:autoSpaceDE w:val="0"/>
      <w:autoSpaceDN w:val="0"/>
      <w:adjustRightInd w:val="0"/>
      <w:spacing w:before="200"/>
      <w:ind w:left="392" w:hanging="392"/>
      <w:jc w:val="both"/>
    </w:pPr>
    <w:rPr>
      <w:rFonts w:ascii="Trebuchet MS" w:hAnsi="Trebuchet MS"/>
      <w:b/>
      <w:iCs/>
      <w:spacing w:val="15"/>
      <w:sz w:val="20"/>
      <w:lang w:eastAsia="en-US"/>
    </w:rPr>
  </w:style>
  <w:style w:type="character" w:customStyle="1" w:styleId="Sous-titreCar">
    <w:name w:val="Sous-titre Car"/>
    <w:link w:val="Sous-titre"/>
    <w:uiPriority w:val="11"/>
    <w:rsid w:val="00694219"/>
    <w:rPr>
      <w:rFonts w:ascii="Trebuchet MS" w:eastAsia="Times New Roman" w:hAnsi="Trebuchet MS"/>
      <w:b/>
      <w:iCs/>
      <w:spacing w:val="15"/>
      <w:szCs w:val="24"/>
    </w:rPr>
  </w:style>
  <w:style w:type="paragraph" w:customStyle="1" w:styleId="TITREPAGEDEGARDENIV2">
    <w:name w:val="TITRE PAGE DE GARDE NIV 2"/>
    <w:next w:val="Normal"/>
    <w:qFormat/>
    <w:rsid w:val="00694219"/>
    <w:pPr>
      <w:spacing w:after="200" w:line="276" w:lineRule="auto"/>
    </w:pPr>
    <w:rPr>
      <w:rFonts w:ascii="Trebuchet MS" w:eastAsia="Calibri" w:hAnsi="Trebuchet MS" w:cs="Calibri"/>
      <w:iCs/>
      <w:color w:val="000000"/>
      <w:sz w:val="36"/>
      <w:szCs w:val="23"/>
    </w:rPr>
  </w:style>
  <w:style w:type="paragraph" w:customStyle="1" w:styleId="Dfinition">
    <w:name w:val="Définition"/>
    <w:next w:val="Normal"/>
    <w:qFormat/>
    <w:rsid w:val="00694219"/>
    <w:pPr>
      <w:keepNext/>
      <w:keepLines/>
      <w:pBdr>
        <w:left w:val="single" w:sz="4" w:space="4" w:color="C00000"/>
      </w:pBdr>
      <w:shd w:val="clear" w:color="auto" w:fill="DFE0E1"/>
      <w:spacing w:before="120"/>
      <w:ind w:left="567"/>
    </w:pPr>
    <w:rPr>
      <w:rFonts w:ascii="Trebuchet MS" w:eastAsia="Calibri" w:hAnsi="Trebuchet MS" w:cs="Calibri"/>
      <w:i/>
      <w:color w:val="000000"/>
      <w:szCs w:val="23"/>
    </w:rPr>
  </w:style>
  <w:style w:type="table" w:customStyle="1" w:styleId="TableaubandesCSO1">
    <w:name w:val="Tableau à bandes CSO1"/>
    <w:basedOn w:val="TableauNormal"/>
    <w:next w:val="Trameclaire-Accent2"/>
    <w:uiPriority w:val="60"/>
    <w:rsid w:val="00694219"/>
    <w:pPr>
      <w:spacing w:before="60" w:after="60"/>
    </w:pPr>
    <w:rPr>
      <w:rFonts w:ascii="Trebuchet MS" w:eastAsia="Calibri" w:hAnsi="Trebuchet MS"/>
      <w:color w:val="E42618"/>
      <w:szCs w:val="22"/>
    </w:rPr>
    <w:tblPr>
      <w:tblStyleRowBandSize w:val="1"/>
      <w:tblStyleColBandSize w:val="1"/>
      <w:tblInd w:w="0" w:type="dxa"/>
      <w:tblBorders>
        <w:top w:val="single" w:sz="8" w:space="0" w:color="6C7073"/>
        <w:bottom w:val="single" w:sz="8" w:space="0" w:color="6C7073"/>
      </w:tblBorders>
      <w:tblCellMar>
        <w:top w:w="0" w:type="dxa"/>
        <w:left w:w="108" w:type="dxa"/>
        <w:bottom w:w="0" w:type="dxa"/>
        <w:right w:w="108" w:type="dxa"/>
      </w:tblCellMar>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paragraph" w:customStyle="1" w:styleId="Titre1complet">
    <w:name w:val="Titre 1 complet"/>
    <w:basedOn w:val="Textebrut"/>
    <w:next w:val="Titre1"/>
    <w:qFormat/>
    <w:rsid w:val="00694219"/>
    <w:pPr>
      <w:spacing w:before="360"/>
      <w:jc w:val="center"/>
    </w:pPr>
    <w:rPr>
      <w:rFonts w:ascii="Trebuchet MS" w:eastAsia="Arial Unicode MS" w:hAnsi="Trebuchet MS"/>
      <w:b/>
      <w:bCs/>
      <w:shadow/>
      <w:sz w:val="28"/>
      <w:szCs w:val="28"/>
    </w:rPr>
  </w:style>
  <w:style w:type="paragraph" w:customStyle="1" w:styleId="Remarque">
    <w:name w:val="Remarque"/>
    <w:qFormat/>
    <w:rsid w:val="00694219"/>
    <w:pPr>
      <w:keepNext/>
      <w:pBdr>
        <w:top w:val="single" w:sz="8" w:space="1" w:color="C00000"/>
      </w:pBdr>
      <w:shd w:val="clear" w:color="auto" w:fill="DFE0E1"/>
      <w:spacing w:before="60"/>
      <w:contextualSpacing/>
      <w:jc w:val="both"/>
    </w:pPr>
    <w:rPr>
      <w:rFonts w:ascii="Trebuchet MS" w:eastAsia="Calibri" w:hAnsi="Trebuchet MS" w:cs="Calibri"/>
      <w:iCs/>
      <w:color w:val="C00000"/>
      <w:sz w:val="18"/>
      <w:szCs w:val="23"/>
    </w:rPr>
  </w:style>
  <w:style w:type="paragraph" w:customStyle="1" w:styleId="Remarque-Enumerationniv1">
    <w:name w:val="Remarque - Enumeration niv 1"/>
    <w:basedOn w:val="Remarque"/>
    <w:qFormat/>
    <w:rsid w:val="00694219"/>
    <w:pPr>
      <w:numPr>
        <w:numId w:val="12"/>
      </w:numPr>
      <w:tabs>
        <w:tab w:val="num" w:pos="928"/>
      </w:tabs>
      <w:ind w:left="284" w:hanging="284"/>
    </w:pPr>
  </w:style>
  <w:style w:type="paragraph" w:customStyle="1" w:styleId="Titredelarticledcretloi">
    <w:name w:val="Titre de l'article/décret/loi"/>
    <w:basedOn w:val="Normal"/>
    <w:qFormat/>
    <w:rsid w:val="00694219"/>
    <w:pPr>
      <w:autoSpaceDE w:val="0"/>
      <w:autoSpaceDN w:val="0"/>
      <w:adjustRightInd w:val="0"/>
      <w:spacing w:before="240" w:after="120"/>
    </w:pPr>
    <w:rPr>
      <w:rFonts w:ascii="Trebuchet MS" w:eastAsia="Calibri" w:hAnsi="Trebuchet MS" w:cs="Calibri"/>
      <w:b/>
      <w:iCs/>
      <w:color w:val="C00000"/>
      <w:sz w:val="20"/>
      <w:szCs w:val="23"/>
      <w:lang w:eastAsia="en-US"/>
    </w:rPr>
  </w:style>
  <w:style w:type="paragraph" w:customStyle="1" w:styleId="Exemple">
    <w:name w:val="Exemple"/>
    <w:basedOn w:val="Normal"/>
    <w:qFormat/>
    <w:rsid w:val="00694219"/>
    <w:pPr>
      <w:pBdr>
        <w:top w:val="single" w:sz="8" w:space="1" w:color="C00000"/>
      </w:pBdr>
      <w:shd w:val="clear" w:color="auto" w:fill="DFE0E1"/>
      <w:autoSpaceDE w:val="0"/>
      <w:autoSpaceDN w:val="0"/>
      <w:adjustRightInd w:val="0"/>
      <w:spacing w:before="60"/>
      <w:jc w:val="both"/>
    </w:pPr>
    <w:rPr>
      <w:rFonts w:ascii="Trebuchet MS" w:eastAsia="Calibri" w:hAnsi="Trebuchet MS" w:cs="Calibri"/>
      <w:iCs/>
      <w:color w:val="C00000"/>
      <w:sz w:val="18"/>
      <w:szCs w:val="18"/>
      <w:lang w:eastAsia="en-US"/>
    </w:rPr>
  </w:style>
  <w:style w:type="paragraph" w:customStyle="1" w:styleId="Exemple-Enumerationniv1">
    <w:name w:val="Exemple - Enumeration niv 1"/>
    <w:basedOn w:val="Exemple"/>
    <w:qFormat/>
    <w:rsid w:val="00694219"/>
    <w:pPr>
      <w:numPr>
        <w:numId w:val="13"/>
      </w:numPr>
      <w:tabs>
        <w:tab w:val="num" w:pos="360"/>
      </w:tabs>
      <w:ind w:left="284" w:hanging="284"/>
    </w:pPr>
  </w:style>
  <w:style w:type="paragraph" w:customStyle="1" w:styleId="EnumrationNiv1">
    <w:name w:val="Enumération Niv 1"/>
    <w:qFormat/>
    <w:rsid w:val="00694219"/>
    <w:pPr>
      <w:spacing w:before="120"/>
      <w:jc w:val="both"/>
    </w:pPr>
    <w:rPr>
      <w:rFonts w:ascii="Trebuchet MS" w:eastAsia="Calibri" w:hAnsi="Trebuchet MS" w:cs="Calibri"/>
      <w:iCs/>
      <w:color w:val="000000"/>
      <w:szCs w:val="23"/>
    </w:rPr>
  </w:style>
  <w:style w:type="paragraph" w:customStyle="1" w:styleId="EnumrationNiv2">
    <w:name w:val="Enumération Niv 2"/>
    <w:qFormat/>
    <w:rsid w:val="00694219"/>
    <w:pPr>
      <w:numPr>
        <w:numId w:val="10"/>
      </w:numPr>
      <w:spacing w:before="60"/>
      <w:ind w:left="851" w:hanging="142"/>
      <w:jc w:val="both"/>
    </w:pPr>
    <w:rPr>
      <w:rFonts w:ascii="Trebuchet MS" w:eastAsia="Calibri" w:hAnsi="Trebuchet MS" w:cs="Calibri"/>
      <w:iCs/>
      <w:color w:val="000000"/>
      <w:szCs w:val="23"/>
    </w:rPr>
  </w:style>
  <w:style w:type="paragraph" w:customStyle="1" w:styleId="EnumrationNiv3">
    <w:name w:val="Enumération Niv 3"/>
    <w:qFormat/>
    <w:rsid w:val="00694219"/>
    <w:pPr>
      <w:numPr>
        <w:numId w:val="11"/>
      </w:numPr>
      <w:tabs>
        <w:tab w:val="num" w:pos="705"/>
      </w:tabs>
      <w:spacing w:before="60"/>
      <w:ind w:left="1135" w:hanging="284"/>
      <w:jc w:val="both"/>
    </w:pPr>
    <w:rPr>
      <w:rFonts w:ascii="Trebuchet MS" w:eastAsia="Calibri" w:hAnsi="Trebuchet MS" w:cs="Calibri"/>
      <w:iCs/>
      <w:color w:val="000000"/>
      <w:szCs w:val="23"/>
    </w:rPr>
  </w:style>
  <w:style w:type="paragraph" w:customStyle="1" w:styleId="TM51">
    <w:name w:val="TM 51"/>
    <w:basedOn w:val="Normal"/>
    <w:next w:val="Normal"/>
    <w:autoRedefine/>
    <w:unhideWhenUsed/>
    <w:rsid w:val="00694219"/>
    <w:pPr>
      <w:tabs>
        <w:tab w:val="left" w:pos="1540"/>
        <w:tab w:val="right" w:leader="dot" w:pos="6804"/>
      </w:tabs>
      <w:autoSpaceDE w:val="0"/>
      <w:autoSpaceDN w:val="0"/>
      <w:adjustRightInd w:val="0"/>
      <w:spacing w:after="100"/>
      <w:ind w:left="1559" w:right="851" w:hanging="567"/>
    </w:pPr>
    <w:rPr>
      <w:rFonts w:ascii="Trebuchet MS" w:eastAsia="Calibri" w:hAnsi="Trebuchet MS" w:cs="Calibri"/>
      <w:i/>
      <w:iCs/>
      <w:noProof/>
      <w:color w:val="A4A7AA"/>
      <w:sz w:val="18"/>
      <w:szCs w:val="23"/>
      <w:lang w:eastAsia="en-US"/>
    </w:rPr>
  </w:style>
  <w:style w:type="paragraph" w:customStyle="1" w:styleId="EnumrationNiv1suite">
    <w:name w:val="Enumération Niv 1 suite"/>
    <w:basedOn w:val="EnumrationNiv1"/>
    <w:qFormat/>
    <w:rsid w:val="00694219"/>
    <w:pPr>
      <w:spacing w:before="60"/>
      <w:ind w:left="709"/>
    </w:pPr>
  </w:style>
  <w:style w:type="paragraph" w:customStyle="1" w:styleId="EnumrationNiv2suite">
    <w:name w:val="Enumération Niv 2 suite"/>
    <w:basedOn w:val="EnumrationNiv2"/>
    <w:qFormat/>
    <w:rsid w:val="00694219"/>
    <w:pPr>
      <w:numPr>
        <w:numId w:val="0"/>
      </w:numPr>
      <w:ind w:left="851"/>
    </w:pPr>
  </w:style>
  <w:style w:type="paragraph" w:customStyle="1" w:styleId="titreremarque">
    <w:name w:val="titre remarque"/>
    <w:basedOn w:val="Normal"/>
    <w:rsid w:val="00694219"/>
    <w:pPr>
      <w:numPr>
        <w:numId w:val="14"/>
      </w:numPr>
      <w:tabs>
        <w:tab w:val="clear" w:pos="360"/>
        <w:tab w:val="left" w:pos="567"/>
      </w:tabs>
      <w:ind w:left="567" w:hanging="567"/>
      <w:jc w:val="both"/>
    </w:pPr>
    <w:rPr>
      <w:rFonts w:ascii="Trebuchet MS" w:hAnsi="Trebuchet MS"/>
      <w:b/>
      <w:color w:val="C00000"/>
      <w:sz w:val="20"/>
      <w:szCs w:val="20"/>
    </w:rPr>
  </w:style>
  <w:style w:type="paragraph" w:customStyle="1" w:styleId="titreexemple">
    <w:name w:val="titre exemple"/>
    <w:basedOn w:val="Normal"/>
    <w:next w:val="Exemple"/>
    <w:rsid w:val="00694219"/>
    <w:pPr>
      <w:numPr>
        <w:numId w:val="15"/>
      </w:numPr>
      <w:tabs>
        <w:tab w:val="clear" w:pos="1778"/>
        <w:tab w:val="left" w:pos="567"/>
      </w:tabs>
      <w:spacing w:line="288" w:lineRule="auto"/>
      <w:ind w:left="567" w:hanging="567"/>
      <w:jc w:val="both"/>
    </w:pPr>
    <w:rPr>
      <w:rFonts w:ascii="Trebuchet MS" w:hAnsi="Trebuchet MS"/>
      <w:b/>
      <w:bCs/>
      <w:color w:val="C00000"/>
      <w:sz w:val="20"/>
      <w:szCs w:val="20"/>
    </w:rPr>
  </w:style>
  <w:style w:type="paragraph" w:customStyle="1" w:styleId="ArticleDcretnXX">
    <w:name w:val="Article/Décret n°XX"/>
    <w:basedOn w:val="Normal"/>
    <w:qFormat/>
    <w:rsid w:val="00694219"/>
    <w:pPr>
      <w:autoSpaceDE w:val="0"/>
      <w:autoSpaceDN w:val="0"/>
      <w:adjustRightInd w:val="0"/>
      <w:spacing w:before="200"/>
      <w:jc w:val="both"/>
    </w:pPr>
    <w:rPr>
      <w:rFonts w:ascii="Trebuchet MS" w:eastAsia="Calibri" w:hAnsi="Trebuchet MS" w:cs="Calibri"/>
      <w:iCs/>
      <w:color w:val="C00000"/>
      <w:sz w:val="20"/>
      <w:szCs w:val="23"/>
      <w:lang w:eastAsia="en-US"/>
    </w:rPr>
  </w:style>
  <w:style w:type="character" w:customStyle="1" w:styleId="Emphaseple1">
    <w:name w:val="Emphase pâle1"/>
    <w:uiPriority w:val="19"/>
    <w:qFormat/>
    <w:rsid w:val="00694219"/>
    <w:rPr>
      <w:i/>
      <w:iCs/>
      <w:color w:val="FF6060"/>
    </w:rPr>
  </w:style>
  <w:style w:type="character" w:styleId="Accentuation">
    <w:name w:val="Emphasis"/>
    <w:uiPriority w:val="20"/>
    <w:qFormat/>
    <w:rsid w:val="00694219"/>
    <w:rPr>
      <w:i/>
      <w:iCs/>
    </w:rPr>
  </w:style>
  <w:style w:type="character" w:customStyle="1" w:styleId="Emphaseintense1">
    <w:name w:val="Emphase intense1"/>
    <w:uiPriority w:val="21"/>
    <w:qFormat/>
    <w:rsid w:val="00694219"/>
    <w:rPr>
      <w:b/>
      <w:bCs/>
      <w:i/>
      <w:iCs/>
      <w:color w:val="A5A8AA"/>
    </w:rPr>
  </w:style>
  <w:style w:type="character" w:styleId="lev">
    <w:name w:val="Strong"/>
    <w:uiPriority w:val="22"/>
    <w:qFormat/>
    <w:rsid w:val="00694219"/>
    <w:rPr>
      <w:b/>
      <w:bCs/>
    </w:rPr>
  </w:style>
  <w:style w:type="paragraph" w:customStyle="1" w:styleId="Citationintense1">
    <w:name w:val="Citation intense1"/>
    <w:basedOn w:val="Normal"/>
    <w:next w:val="Normal"/>
    <w:uiPriority w:val="30"/>
    <w:rsid w:val="00694219"/>
    <w:pPr>
      <w:pBdr>
        <w:bottom w:val="single" w:sz="4" w:space="4" w:color="A5A8AA"/>
      </w:pBdr>
      <w:autoSpaceDE w:val="0"/>
      <w:autoSpaceDN w:val="0"/>
      <w:adjustRightInd w:val="0"/>
      <w:spacing w:before="200" w:after="280"/>
      <w:ind w:left="936" w:right="936"/>
      <w:jc w:val="both"/>
    </w:pPr>
    <w:rPr>
      <w:rFonts w:ascii="Trebuchet MS" w:eastAsia="Calibri" w:hAnsi="Trebuchet MS" w:cs="Calibri"/>
      <w:b/>
      <w:bCs/>
      <w:i/>
      <w:color w:val="A5A8AA"/>
      <w:sz w:val="20"/>
      <w:szCs w:val="23"/>
      <w:lang w:eastAsia="en-US"/>
    </w:rPr>
  </w:style>
  <w:style w:type="character" w:customStyle="1" w:styleId="CitationintenseCar">
    <w:name w:val="Citation intense Car"/>
    <w:link w:val="Citationintense"/>
    <w:uiPriority w:val="30"/>
    <w:rsid w:val="00694219"/>
    <w:rPr>
      <w:rFonts w:ascii="Trebuchet MS" w:hAnsi="Trebuchet MS" w:cs="Calibri"/>
      <w:b/>
      <w:bCs/>
      <w:i/>
      <w:color w:val="A5A8AA"/>
      <w:szCs w:val="23"/>
    </w:rPr>
  </w:style>
  <w:style w:type="character" w:customStyle="1" w:styleId="Rfrenceple1">
    <w:name w:val="Référence pâle1"/>
    <w:uiPriority w:val="31"/>
    <w:rsid w:val="00694219"/>
    <w:rPr>
      <w:smallCaps/>
      <w:color w:val="6C7073"/>
      <w:u w:val="single"/>
    </w:rPr>
  </w:style>
  <w:style w:type="character" w:customStyle="1" w:styleId="Rfrenceintense1">
    <w:name w:val="Référence intense1"/>
    <w:uiPriority w:val="32"/>
    <w:rsid w:val="00694219"/>
    <w:rPr>
      <w:b/>
      <w:bCs/>
      <w:smallCaps/>
      <w:color w:val="6C7073"/>
      <w:spacing w:val="5"/>
      <w:u w:val="single"/>
    </w:rPr>
  </w:style>
  <w:style w:type="character" w:styleId="Titredulivre">
    <w:name w:val="Book Title"/>
    <w:uiPriority w:val="33"/>
    <w:qFormat/>
    <w:rsid w:val="00694219"/>
    <w:rPr>
      <w:b/>
      <w:bCs/>
      <w:smallCaps/>
      <w:spacing w:val="5"/>
    </w:rPr>
  </w:style>
  <w:style w:type="paragraph" w:customStyle="1" w:styleId="EncadrRfrencetitre">
    <w:name w:val="Encadré Référence titre"/>
    <w:basedOn w:val="Normal"/>
    <w:qFormat/>
    <w:rsid w:val="00694219"/>
    <w:pPr>
      <w:pBdr>
        <w:top w:val="single" w:sz="8" w:space="1" w:color="C00000"/>
        <w:left w:val="single" w:sz="8" w:space="4" w:color="C00000"/>
        <w:bottom w:val="single" w:sz="8" w:space="1" w:color="C00000"/>
        <w:right w:val="single" w:sz="8" w:space="4" w:color="C00000"/>
      </w:pBdr>
      <w:shd w:val="clear" w:color="auto" w:fill="DFE0E1"/>
      <w:autoSpaceDE w:val="0"/>
      <w:autoSpaceDN w:val="0"/>
      <w:adjustRightInd w:val="0"/>
      <w:spacing w:before="200"/>
      <w:jc w:val="center"/>
    </w:pPr>
    <w:rPr>
      <w:rFonts w:ascii="Trebuchet MS" w:eastAsia="Calibri" w:hAnsi="Trebuchet MS" w:cs="Calibri"/>
      <w:b/>
      <w:iCs/>
      <w:color w:val="C00000"/>
      <w:sz w:val="28"/>
      <w:szCs w:val="23"/>
      <w:lang w:eastAsia="en-US"/>
    </w:rPr>
  </w:style>
  <w:style w:type="paragraph" w:customStyle="1" w:styleId="EncadrRfrencesous-titre">
    <w:name w:val="Encadré Référence sous-titre"/>
    <w:basedOn w:val="Normal"/>
    <w:qFormat/>
    <w:rsid w:val="00694219"/>
    <w:pPr>
      <w:pBdr>
        <w:top w:val="single" w:sz="8" w:space="1" w:color="FF5F5F"/>
        <w:left w:val="single" w:sz="8" w:space="4" w:color="FF5F5F"/>
        <w:bottom w:val="single" w:sz="8" w:space="1" w:color="FF5F5F"/>
        <w:right w:val="single" w:sz="8" w:space="4" w:color="FF5F5F"/>
      </w:pBdr>
      <w:shd w:val="clear" w:color="auto" w:fill="DFE0E1"/>
      <w:autoSpaceDE w:val="0"/>
      <w:autoSpaceDN w:val="0"/>
      <w:adjustRightInd w:val="0"/>
      <w:spacing w:before="200"/>
      <w:jc w:val="center"/>
    </w:pPr>
    <w:rPr>
      <w:rFonts w:ascii="Trebuchet MS" w:eastAsia="Calibri" w:hAnsi="Trebuchet MS" w:cs="Calibri"/>
      <w:b/>
      <w:iCs/>
      <w:color w:val="C00000"/>
      <w:sz w:val="22"/>
      <w:szCs w:val="23"/>
      <w:lang w:eastAsia="en-US"/>
    </w:rPr>
  </w:style>
  <w:style w:type="paragraph" w:customStyle="1" w:styleId="EncadrRfrencesous-sous-titre">
    <w:name w:val="Encadré Référence sous-sous-titre"/>
    <w:basedOn w:val="Normal"/>
    <w:qFormat/>
    <w:rsid w:val="00694219"/>
    <w:pPr>
      <w:pBdr>
        <w:top w:val="single" w:sz="8" w:space="1" w:color="FF5F5F"/>
        <w:left w:val="single" w:sz="8" w:space="4" w:color="FF5F5F"/>
        <w:bottom w:val="single" w:sz="8" w:space="1" w:color="FF5F5F"/>
        <w:right w:val="single" w:sz="8" w:space="4" w:color="FF5F5F"/>
      </w:pBdr>
      <w:shd w:val="clear" w:color="auto" w:fill="DFE0E1"/>
      <w:autoSpaceDE w:val="0"/>
      <w:autoSpaceDN w:val="0"/>
      <w:adjustRightInd w:val="0"/>
      <w:spacing w:before="200"/>
    </w:pPr>
    <w:rPr>
      <w:rFonts w:ascii="Trebuchet MS" w:eastAsia="Calibri" w:hAnsi="Trebuchet MS" w:cs="Calibri"/>
      <w:b/>
      <w:iCs/>
      <w:color w:val="C00000"/>
      <w:sz w:val="20"/>
      <w:szCs w:val="23"/>
      <w:lang w:eastAsia="en-US"/>
    </w:rPr>
  </w:style>
  <w:style w:type="paragraph" w:customStyle="1" w:styleId="EncadrRfrenceNarticle">
    <w:name w:val="Encadré Référence N° article"/>
    <w:basedOn w:val="Normal"/>
    <w:qFormat/>
    <w:rsid w:val="00694219"/>
    <w:pPr>
      <w:pBdr>
        <w:top w:val="single" w:sz="8" w:space="1" w:color="FF5F5F"/>
        <w:left w:val="single" w:sz="8" w:space="4" w:color="FF5F5F"/>
        <w:bottom w:val="single" w:sz="8" w:space="1" w:color="FF5F5F"/>
        <w:right w:val="single" w:sz="8" w:space="4" w:color="FF5F5F"/>
      </w:pBdr>
      <w:shd w:val="clear" w:color="auto" w:fill="DFE0E1"/>
      <w:autoSpaceDE w:val="0"/>
      <w:autoSpaceDN w:val="0"/>
      <w:adjustRightInd w:val="0"/>
      <w:spacing w:before="200"/>
    </w:pPr>
    <w:rPr>
      <w:rFonts w:ascii="Trebuchet MS" w:eastAsia="Calibri" w:hAnsi="Trebuchet MS" w:cs="Calibri"/>
      <w:iCs/>
      <w:color w:val="C00000"/>
      <w:sz w:val="20"/>
      <w:szCs w:val="23"/>
      <w:lang w:eastAsia="en-US"/>
    </w:rPr>
  </w:style>
  <w:style w:type="paragraph" w:customStyle="1" w:styleId="EncadrRfrencenormal">
    <w:name w:val="Encadré Référence normal"/>
    <w:basedOn w:val="Normal"/>
    <w:qFormat/>
    <w:rsid w:val="00694219"/>
    <w:pPr>
      <w:pBdr>
        <w:top w:val="single" w:sz="8" w:space="1" w:color="FF5F5F"/>
        <w:left w:val="single" w:sz="8" w:space="4" w:color="FF5F5F"/>
        <w:bottom w:val="single" w:sz="8" w:space="1" w:color="FF5F5F"/>
        <w:right w:val="single" w:sz="8" w:space="4" w:color="FF5F5F"/>
      </w:pBdr>
      <w:shd w:val="clear" w:color="auto" w:fill="DFE0E1"/>
      <w:autoSpaceDE w:val="0"/>
      <w:autoSpaceDN w:val="0"/>
      <w:adjustRightInd w:val="0"/>
      <w:spacing w:before="200"/>
      <w:jc w:val="both"/>
    </w:pPr>
    <w:rPr>
      <w:rFonts w:ascii="Trebuchet MS" w:eastAsia="Calibri" w:hAnsi="Trebuchet MS" w:cs="Calibri"/>
      <w:iCs/>
      <w:sz w:val="20"/>
      <w:szCs w:val="23"/>
      <w:lang w:eastAsia="en-US"/>
    </w:rPr>
  </w:style>
  <w:style w:type="paragraph" w:customStyle="1" w:styleId="EncadrRfrencenum">
    <w:name w:val="Encadré Référence énum"/>
    <w:basedOn w:val="Paragraphedeliste"/>
    <w:qFormat/>
    <w:rsid w:val="00694219"/>
    <w:pPr>
      <w:numPr>
        <w:numId w:val="16"/>
      </w:numPr>
      <w:pBdr>
        <w:top w:val="single" w:sz="8" w:space="1" w:color="C00000"/>
        <w:left w:val="single" w:sz="8" w:space="4" w:color="C00000"/>
        <w:bottom w:val="single" w:sz="8" w:space="1" w:color="C00000"/>
        <w:right w:val="single" w:sz="8" w:space="4" w:color="C00000"/>
      </w:pBdr>
      <w:shd w:val="clear" w:color="auto" w:fill="DFE0E1"/>
      <w:tabs>
        <w:tab w:val="num" w:pos="1065"/>
      </w:tabs>
      <w:autoSpaceDE w:val="0"/>
      <w:autoSpaceDN w:val="0"/>
      <w:adjustRightInd w:val="0"/>
      <w:spacing w:before="200"/>
      <w:ind w:left="1065"/>
      <w:contextualSpacing/>
      <w:jc w:val="both"/>
    </w:pPr>
    <w:rPr>
      <w:rFonts w:ascii="Trebuchet MS" w:eastAsia="Calibri" w:hAnsi="Trebuchet MS" w:cs="Calibri"/>
      <w:iCs/>
      <w:sz w:val="20"/>
      <w:szCs w:val="23"/>
      <w:lang w:eastAsia="en-US"/>
    </w:rPr>
  </w:style>
  <w:style w:type="character" w:customStyle="1" w:styleId="Cfmodele">
    <w:name w:val="Cf. modele"/>
    <w:uiPriority w:val="1"/>
    <w:qFormat/>
    <w:rsid w:val="00694219"/>
    <w:rPr>
      <w:color w:val="C00000"/>
    </w:rPr>
  </w:style>
  <w:style w:type="numbering" w:customStyle="1" w:styleId="Numroration">
    <w:name w:val="Numéroration"/>
    <w:uiPriority w:val="99"/>
    <w:rsid w:val="00694219"/>
    <w:pPr>
      <w:numPr>
        <w:numId w:val="17"/>
      </w:numPr>
    </w:pPr>
  </w:style>
  <w:style w:type="numbering" w:customStyle="1" w:styleId="Aucuneliste11">
    <w:name w:val="Aucune liste11"/>
    <w:next w:val="Aucuneliste"/>
    <w:semiHidden/>
    <w:rsid w:val="00694219"/>
  </w:style>
  <w:style w:type="paragraph" w:styleId="Liste3">
    <w:name w:val="List 3"/>
    <w:basedOn w:val="Normal"/>
    <w:rsid w:val="00694219"/>
    <w:pPr>
      <w:tabs>
        <w:tab w:val="left" w:pos="1134"/>
      </w:tabs>
      <w:spacing w:before="120"/>
      <w:ind w:left="851"/>
      <w:jc w:val="both"/>
    </w:pPr>
    <w:rPr>
      <w:rFonts w:ascii="Times" w:hAnsi="Times" w:cs="Times"/>
    </w:rPr>
  </w:style>
  <w:style w:type="paragraph" w:styleId="Liste2">
    <w:name w:val="List 2"/>
    <w:basedOn w:val="Normal"/>
    <w:rsid w:val="00694219"/>
    <w:pPr>
      <w:tabs>
        <w:tab w:val="left" w:pos="567"/>
      </w:tabs>
      <w:spacing w:before="120"/>
      <w:ind w:left="568" w:hanging="284"/>
      <w:jc w:val="both"/>
    </w:pPr>
    <w:rPr>
      <w:rFonts w:ascii="Times" w:hAnsi="Times" w:cs="Times"/>
    </w:rPr>
  </w:style>
  <w:style w:type="paragraph" w:customStyle="1" w:styleId="Titre3b">
    <w:name w:val="Titre 3b"/>
    <w:basedOn w:val="Titre3"/>
    <w:rsid w:val="00694219"/>
    <w:pPr>
      <w:tabs>
        <w:tab w:val="num" w:pos="360"/>
      </w:tabs>
      <w:spacing w:after="0"/>
      <w:ind w:left="340" w:hanging="340"/>
      <w:jc w:val="both"/>
    </w:pPr>
    <w:rPr>
      <w:rFonts w:ascii="Times" w:hAnsi="Times" w:cs="Times"/>
    </w:rPr>
  </w:style>
  <w:style w:type="paragraph" w:customStyle="1" w:styleId="titre6c">
    <w:name w:val="titre 6c"/>
    <w:basedOn w:val="titre6b"/>
    <w:rsid w:val="00694219"/>
    <w:pPr>
      <w:tabs>
        <w:tab w:val="clear" w:pos="1418"/>
      </w:tabs>
      <w:ind w:left="360" w:hanging="360"/>
    </w:pPr>
  </w:style>
  <w:style w:type="paragraph" w:customStyle="1" w:styleId="titre6b">
    <w:name w:val="titre 6b"/>
    <w:basedOn w:val="titre6"/>
    <w:rsid w:val="00694219"/>
    <w:pPr>
      <w:ind w:left="340" w:hanging="340"/>
    </w:pPr>
  </w:style>
  <w:style w:type="paragraph" w:customStyle="1" w:styleId="titre6">
    <w:name w:val="titre 6"/>
    <w:basedOn w:val="Pieddepage"/>
    <w:rsid w:val="00694219"/>
    <w:pPr>
      <w:tabs>
        <w:tab w:val="clear" w:pos="4536"/>
        <w:tab w:val="clear" w:pos="9072"/>
        <w:tab w:val="num" w:pos="360"/>
        <w:tab w:val="left" w:pos="1418"/>
      </w:tabs>
      <w:ind w:left="1701" w:hanging="567"/>
      <w:jc w:val="both"/>
    </w:pPr>
    <w:rPr>
      <w:rFonts w:ascii="Times" w:hAnsi="Times" w:cs="Times"/>
      <w:i/>
      <w:iCs/>
    </w:rPr>
  </w:style>
  <w:style w:type="paragraph" w:styleId="Liste">
    <w:name w:val="List"/>
    <w:basedOn w:val="Normal"/>
    <w:rsid w:val="00694219"/>
    <w:pPr>
      <w:tabs>
        <w:tab w:val="num" w:pos="360"/>
      </w:tabs>
      <w:spacing w:before="120"/>
      <w:ind w:left="284" w:hanging="284"/>
      <w:jc w:val="both"/>
    </w:pPr>
    <w:rPr>
      <w:rFonts w:ascii="Times" w:hAnsi="Times" w:cs="Times"/>
    </w:rPr>
  </w:style>
  <w:style w:type="paragraph" w:customStyle="1" w:styleId="titre3c">
    <w:name w:val="titre 3c"/>
    <w:basedOn w:val="Titre3b"/>
    <w:rsid w:val="00694219"/>
    <w:pPr>
      <w:tabs>
        <w:tab w:val="clear" w:pos="360"/>
        <w:tab w:val="num" w:pos="747"/>
      </w:tabs>
      <w:ind w:left="747" w:hanging="567"/>
    </w:pPr>
  </w:style>
  <w:style w:type="paragraph" w:customStyle="1" w:styleId="Titre4c">
    <w:name w:val="Titre 4c"/>
    <w:basedOn w:val="Normal"/>
    <w:rsid w:val="00694219"/>
    <w:pPr>
      <w:keepNext/>
      <w:numPr>
        <w:numId w:val="18"/>
      </w:numPr>
      <w:tabs>
        <w:tab w:val="clear" w:pos="360"/>
        <w:tab w:val="left" w:pos="1134"/>
      </w:tabs>
      <w:ind w:left="1134" w:hanging="567"/>
      <w:jc w:val="both"/>
      <w:outlineLvl w:val="3"/>
    </w:pPr>
    <w:rPr>
      <w:rFonts w:ascii="Times" w:hAnsi="Times" w:cs="Times"/>
      <w:b/>
      <w:bCs/>
    </w:rPr>
  </w:style>
  <w:style w:type="paragraph" w:customStyle="1" w:styleId="titre4d">
    <w:name w:val="titre 4d"/>
    <w:basedOn w:val="Retraitcorpsdetexte"/>
    <w:rsid w:val="00694219"/>
    <w:pPr>
      <w:tabs>
        <w:tab w:val="clear" w:pos="426"/>
        <w:tab w:val="clear" w:pos="9632"/>
        <w:tab w:val="left" w:pos="1134"/>
      </w:tabs>
      <w:ind w:left="1134" w:hanging="567"/>
    </w:pPr>
    <w:rPr>
      <w:rFonts w:cs="Times"/>
      <w:b/>
      <w:bCs/>
      <w:sz w:val="24"/>
      <w:szCs w:val="24"/>
    </w:rPr>
  </w:style>
  <w:style w:type="paragraph" w:customStyle="1" w:styleId="titre4g">
    <w:name w:val="titre 4 g"/>
    <w:basedOn w:val="Textebrut"/>
    <w:rsid w:val="00694219"/>
    <w:pPr>
      <w:numPr>
        <w:numId w:val="32"/>
      </w:numPr>
      <w:pBdr>
        <w:bottom w:val="single" w:sz="4" w:space="1" w:color="auto"/>
      </w:pBdr>
      <w:tabs>
        <w:tab w:val="left" w:pos="426"/>
      </w:tabs>
      <w:spacing w:before="360"/>
    </w:pPr>
    <w:rPr>
      <w:rFonts w:ascii="Trebuchet MS" w:eastAsia="Arial Unicode MS" w:hAnsi="Trebuchet MS"/>
      <w:b/>
      <w:bCs/>
      <w:shadow/>
      <w:spacing w:val="-6"/>
      <w:sz w:val="26"/>
      <w:szCs w:val="26"/>
    </w:rPr>
  </w:style>
  <w:style w:type="paragraph" w:customStyle="1" w:styleId="titre4h">
    <w:name w:val="titre 4h"/>
    <w:basedOn w:val="Normal"/>
    <w:rsid w:val="00694219"/>
    <w:pPr>
      <w:tabs>
        <w:tab w:val="num" w:pos="927"/>
      </w:tabs>
      <w:ind w:left="1134" w:hanging="567"/>
      <w:jc w:val="both"/>
      <w:outlineLvl w:val="3"/>
    </w:pPr>
    <w:rPr>
      <w:rFonts w:ascii="Times" w:hAnsi="Times" w:cs="Times"/>
      <w:b/>
      <w:bCs/>
    </w:rPr>
  </w:style>
  <w:style w:type="paragraph" w:customStyle="1" w:styleId="titre3h">
    <w:name w:val="titre 3 h"/>
    <w:basedOn w:val="Pieddepage"/>
    <w:rsid w:val="00694219"/>
    <w:pPr>
      <w:tabs>
        <w:tab w:val="clear" w:pos="4536"/>
        <w:tab w:val="clear" w:pos="9072"/>
        <w:tab w:val="num" w:pos="567"/>
      </w:tabs>
      <w:ind w:left="567" w:hanging="567"/>
      <w:jc w:val="both"/>
      <w:outlineLvl w:val="2"/>
    </w:pPr>
    <w:rPr>
      <w:rFonts w:ascii="Times" w:hAnsi="Times" w:cs="Times"/>
      <w:b/>
      <w:bCs/>
      <w:sz w:val="26"/>
      <w:szCs w:val="26"/>
    </w:rPr>
  </w:style>
  <w:style w:type="paragraph" w:customStyle="1" w:styleId="titre3j">
    <w:name w:val="titre 3 j"/>
    <w:basedOn w:val="Pieddepage"/>
    <w:rsid w:val="00694219"/>
    <w:pPr>
      <w:tabs>
        <w:tab w:val="clear" w:pos="4536"/>
        <w:tab w:val="clear" w:pos="9072"/>
        <w:tab w:val="num" w:pos="0"/>
      </w:tabs>
      <w:ind w:left="567" w:hanging="567"/>
      <w:jc w:val="both"/>
      <w:outlineLvl w:val="2"/>
    </w:pPr>
    <w:rPr>
      <w:rFonts w:ascii="Times" w:hAnsi="Times" w:cs="Times"/>
      <w:b/>
      <w:bCs/>
      <w:sz w:val="26"/>
      <w:szCs w:val="26"/>
    </w:rPr>
  </w:style>
  <w:style w:type="paragraph" w:customStyle="1" w:styleId="lettre">
    <w:name w:val="lettre"/>
    <w:basedOn w:val="Normal"/>
    <w:rsid w:val="00694219"/>
    <w:pPr>
      <w:tabs>
        <w:tab w:val="left" w:pos="5103"/>
      </w:tabs>
      <w:jc w:val="both"/>
    </w:pPr>
    <w:rPr>
      <w:rFonts w:ascii="Times" w:hAnsi="Times" w:cs="Times"/>
    </w:rPr>
  </w:style>
  <w:style w:type="paragraph" w:customStyle="1" w:styleId="retrait4">
    <w:name w:val="retrait 4"/>
    <w:basedOn w:val="Retraitcorpsdetexte3"/>
    <w:rsid w:val="00694219"/>
    <w:pPr>
      <w:numPr>
        <w:numId w:val="19"/>
      </w:numPr>
      <w:ind w:left="851" w:firstLine="0"/>
    </w:pPr>
    <w:rPr>
      <w:rFonts w:ascii="Times" w:hAnsi="Times" w:cs="Times"/>
    </w:rPr>
  </w:style>
  <w:style w:type="paragraph" w:styleId="Retraitcorpsdetexte3">
    <w:name w:val="Body Text Indent 3"/>
    <w:basedOn w:val="Normal"/>
    <w:link w:val="Retraitcorpsdetexte3Car"/>
    <w:rsid w:val="00694219"/>
    <w:pPr>
      <w:numPr>
        <w:numId w:val="20"/>
      </w:numPr>
      <w:tabs>
        <w:tab w:val="clear" w:pos="927"/>
      </w:tabs>
      <w:jc w:val="both"/>
    </w:pPr>
  </w:style>
  <w:style w:type="character" w:customStyle="1" w:styleId="Retraitcorpsdetexte3Car">
    <w:name w:val="Retrait corps de texte 3 Car"/>
    <w:basedOn w:val="Policepardfaut"/>
    <w:link w:val="Retraitcorpsdetexte3"/>
    <w:rsid w:val="00694219"/>
    <w:rPr>
      <w:rFonts w:ascii="Times New Roman" w:eastAsia="Times New Roman" w:hAnsi="Times New Roman"/>
      <w:sz w:val="24"/>
      <w:szCs w:val="24"/>
      <w:lang w:eastAsia="fr-FR"/>
    </w:rPr>
  </w:style>
  <w:style w:type="paragraph" w:customStyle="1" w:styleId="titre5b">
    <w:name w:val="titre 5b"/>
    <w:basedOn w:val="Titre5"/>
    <w:rsid w:val="00694219"/>
  </w:style>
  <w:style w:type="paragraph" w:customStyle="1" w:styleId="retrait5">
    <w:name w:val="retrait 5"/>
    <w:basedOn w:val="Retraitcorpsdetexte2"/>
    <w:rsid w:val="00694219"/>
    <w:pPr>
      <w:numPr>
        <w:numId w:val="21"/>
      </w:numPr>
      <w:tabs>
        <w:tab w:val="clear" w:pos="927"/>
      </w:tabs>
      <w:ind w:left="1134"/>
    </w:pPr>
    <w:rPr>
      <w:rFonts w:cs="Times"/>
      <w:i w:val="0"/>
      <w:szCs w:val="24"/>
    </w:rPr>
  </w:style>
  <w:style w:type="paragraph" w:styleId="Listepuces">
    <w:name w:val="List Bullet"/>
    <w:basedOn w:val="Normal"/>
    <w:autoRedefine/>
    <w:rsid w:val="00694219"/>
    <w:pPr>
      <w:numPr>
        <w:numId w:val="22"/>
      </w:numPr>
      <w:tabs>
        <w:tab w:val="clear" w:pos="927"/>
      </w:tabs>
      <w:ind w:left="0"/>
      <w:jc w:val="both"/>
    </w:pPr>
    <w:rPr>
      <w:b/>
      <w:bCs/>
      <w:u w:val="single"/>
    </w:rPr>
  </w:style>
  <w:style w:type="paragraph" w:styleId="TM7">
    <w:name w:val="toc 7"/>
    <w:basedOn w:val="Normal"/>
    <w:next w:val="Normal"/>
    <w:autoRedefine/>
    <w:uiPriority w:val="39"/>
    <w:rsid w:val="00694219"/>
    <w:pPr>
      <w:ind w:left="1200"/>
    </w:pPr>
    <w:rPr>
      <w:rFonts w:ascii="Calibri" w:hAnsi="Calibri" w:cs="Calibri"/>
      <w:sz w:val="20"/>
      <w:szCs w:val="20"/>
    </w:rPr>
  </w:style>
  <w:style w:type="paragraph" w:styleId="TM8">
    <w:name w:val="toc 8"/>
    <w:basedOn w:val="Normal"/>
    <w:next w:val="Normal"/>
    <w:autoRedefine/>
    <w:uiPriority w:val="39"/>
    <w:rsid w:val="00694219"/>
    <w:pPr>
      <w:ind w:left="1440"/>
    </w:pPr>
    <w:rPr>
      <w:rFonts w:ascii="Calibri" w:hAnsi="Calibri" w:cs="Calibri"/>
      <w:sz w:val="20"/>
      <w:szCs w:val="20"/>
    </w:rPr>
  </w:style>
  <w:style w:type="paragraph" w:styleId="TM9">
    <w:name w:val="toc 9"/>
    <w:basedOn w:val="Normal"/>
    <w:next w:val="Normal"/>
    <w:autoRedefine/>
    <w:uiPriority w:val="39"/>
    <w:rsid w:val="00694219"/>
    <w:pPr>
      <w:ind w:left="1680"/>
    </w:pPr>
    <w:rPr>
      <w:rFonts w:ascii="Calibri" w:hAnsi="Calibri" w:cs="Calibri"/>
      <w:sz w:val="20"/>
      <w:szCs w:val="20"/>
    </w:rPr>
  </w:style>
  <w:style w:type="paragraph" w:styleId="Index1">
    <w:name w:val="index 1"/>
    <w:basedOn w:val="Normal"/>
    <w:next w:val="Normal"/>
    <w:autoRedefine/>
    <w:rsid w:val="00694219"/>
    <w:pPr>
      <w:tabs>
        <w:tab w:val="right" w:pos="4165"/>
      </w:tabs>
      <w:ind w:left="240" w:hanging="240"/>
    </w:pPr>
    <w:rPr>
      <w:noProof/>
      <w:sz w:val="18"/>
      <w:szCs w:val="18"/>
    </w:rPr>
  </w:style>
  <w:style w:type="paragraph" w:styleId="Index2">
    <w:name w:val="index 2"/>
    <w:basedOn w:val="Normal"/>
    <w:next w:val="Normal"/>
    <w:autoRedefine/>
    <w:rsid w:val="00694219"/>
    <w:pPr>
      <w:ind w:left="480" w:hanging="240"/>
    </w:pPr>
    <w:rPr>
      <w:sz w:val="18"/>
      <w:szCs w:val="18"/>
    </w:rPr>
  </w:style>
  <w:style w:type="paragraph" w:styleId="Index3">
    <w:name w:val="index 3"/>
    <w:basedOn w:val="Normal"/>
    <w:next w:val="Normal"/>
    <w:autoRedefine/>
    <w:rsid w:val="00694219"/>
    <w:pPr>
      <w:ind w:left="720" w:hanging="240"/>
    </w:pPr>
    <w:rPr>
      <w:sz w:val="18"/>
      <w:szCs w:val="18"/>
    </w:rPr>
  </w:style>
  <w:style w:type="paragraph" w:styleId="Index4">
    <w:name w:val="index 4"/>
    <w:basedOn w:val="Normal"/>
    <w:next w:val="Normal"/>
    <w:autoRedefine/>
    <w:rsid w:val="00694219"/>
    <w:pPr>
      <w:ind w:left="960" w:hanging="240"/>
    </w:pPr>
    <w:rPr>
      <w:sz w:val="18"/>
      <w:szCs w:val="18"/>
    </w:rPr>
  </w:style>
  <w:style w:type="paragraph" w:styleId="Index5">
    <w:name w:val="index 5"/>
    <w:basedOn w:val="Normal"/>
    <w:next w:val="Normal"/>
    <w:autoRedefine/>
    <w:rsid w:val="00694219"/>
    <w:pPr>
      <w:ind w:left="1200" w:hanging="240"/>
    </w:pPr>
    <w:rPr>
      <w:sz w:val="18"/>
      <w:szCs w:val="18"/>
    </w:rPr>
  </w:style>
  <w:style w:type="paragraph" w:styleId="Index6">
    <w:name w:val="index 6"/>
    <w:basedOn w:val="Normal"/>
    <w:next w:val="Normal"/>
    <w:autoRedefine/>
    <w:rsid w:val="00694219"/>
    <w:pPr>
      <w:ind w:left="1440" w:hanging="240"/>
    </w:pPr>
    <w:rPr>
      <w:sz w:val="18"/>
      <w:szCs w:val="18"/>
    </w:rPr>
  </w:style>
  <w:style w:type="paragraph" w:styleId="Index7">
    <w:name w:val="index 7"/>
    <w:basedOn w:val="Normal"/>
    <w:next w:val="Normal"/>
    <w:autoRedefine/>
    <w:rsid w:val="00694219"/>
    <w:pPr>
      <w:ind w:left="1680" w:hanging="240"/>
    </w:pPr>
    <w:rPr>
      <w:sz w:val="18"/>
      <w:szCs w:val="18"/>
    </w:rPr>
  </w:style>
  <w:style w:type="paragraph" w:styleId="Index8">
    <w:name w:val="index 8"/>
    <w:basedOn w:val="Normal"/>
    <w:next w:val="Normal"/>
    <w:autoRedefine/>
    <w:rsid w:val="00694219"/>
    <w:pPr>
      <w:ind w:left="1920" w:hanging="240"/>
    </w:pPr>
    <w:rPr>
      <w:sz w:val="18"/>
      <w:szCs w:val="18"/>
    </w:rPr>
  </w:style>
  <w:style w:type="paragraph" w:styleId="Index9">
    <w:name w:val="index 9"/>
    <w:basedOn w:val="Normal"/>
    <w:next w:val="Normal"/>
    <w:autoRedefine/>
    <w:rsid w:val="00694219"/>
    <w:pPr>
      <w:ind w:left="2160" w:hanging="240"/>
    </w:pPr>
    <w:rPr>
      <w:sz w:val="18"/>
      <w:szCs w:val="18"/>
    </w:rPr>
  </w:style>
  <w:style w:type="paragraph" w:styleId="Titreindex">
    <w:name w:val="index heading"/>
    <w:basedOn w:val="Normal"/>
    <w:next w:val="Index1"/>
    <w:rsid w:val="00694219"/>
    <w:pPr>
      <w:pBdr>
        <w:top w:val="single" w:sz="12" w:space="0" w:color="auto"/>
      </w:pBdr>
      <w:spacing w:before="360" w:after="240"/>
    </w:pPr>
    <w:rPr>
      <w:b/>
      <w:bCs/>
      <w:i/>
      <w:iCs/>
      <w:sz w:val="26"/>
      <w:szCs w:val="26"/>
    </w:rPr>
  </w:style>
  <w:style w:type="paragraph" w:styleId="Salutations">
    <w:name w:val="Salutation"/>
    <w:basedOn w:val="Normal"/>
    <w:next w:val="Normal"/>
    <w:link w:val="SalutationsCar"/>
    <w:rsid w:val="00694219"/>
  </w:style>
  <w:style w:type="character" w:customStyle="1" w:styleId="SalutationsCar">
    <w:name w:val="Salutations Car"/>
    <w:basedOn w:val="Policepardfaut"/>
    <w:link w:val="Salutations"/>
    <w:rsid w:val="00694219"/>
    <w:rPr>
      <w:rFonts w:ascii="Times New Roman" w:eastAsia="Times New Roman" w:hAnsi="Times New Roman"/>
      <w:sz w:val="24"/>
      <w:szCs w:val="24"/>
      <w:lang w:eastAsia="fr-FR"/>
    </w:rPr>
  </w:style>
  <w:style w:type="paragraph" w:styleId="Listepuces2">
    <w:name w:val="List Bullet 2"/>
    <w:basedOn w:val="Normal"/>
    <w:autoRedefine/>
    <w:rsid w:val="00694219"/>
    <w:pPr>
      <w:numPr>
        <w:numId w:val="23"/>
      </w:numPr>
    </w:pPr>
  </w:style>
  <w:style w:type="paragraph" w:styleId="Listepuces3">
    <w:name w:val="List Bullet 3"/>
    <w:basedOn w:val="Normal"/>
    <w:autoRedefine/>
    <w:rsid w:val="00694219"/>
    <w:pPr>
      <w:numPr>
        <w:numId w:val="24"/>
      </w:numPr>
    </w:pPr>
  </w:style>
  <w:style w:type="paragraph" w:styleId="Listecontinue">
    <w:name w:val="List Continue"/>
    <w:basedOn w:val="Normal"/>
    <w:rsid w:val="00694219"/>
    <w:pPr>
      <w:spacing w:after="120"/>
      <w:ind w:left="283"/>
    </w:pPr>
  </w:style>
  <w:style w:type="paragraph" w:styleId="Retraitnormal">
    <w:name w:val="Normal Indent"/>
    <w:basedOn w:val="Normal"/>
    <w:rsid w:val="00694219"/>
    <w:pPr>
      <w:ind w:left="708"/>
    </w:pPr>
  </w:style>
  <w:style w:type="paragraph" w:customStyle="1" w:styleId="StyleTitre2Latin12ptLatinGrasSoulignementPetitesCarCarCarCarCarCarCarCar">
    <w:name w:val="Style Titre 2 + (Latin) 12 pt (Latin) Gras Soulignement  Petites... Car Car Car Car Car Car Car Car"/>
    <w:basedOn w:val="Titre2"/>
    <w:link w:val="StyleTitre2Latin12ptLatinGrasSoulignementPetitesCarCarCarCarCarCarCarCarCar"/>
    <w:rsid w:val="00694219"/>
    <w:pPr>
      <w:numPr>
        <w:ilvl w:val="1"/>
      </w:numPr>
      <w:tabs>
        <w:tab w:val="num" w:pos="576"/>
      </w:tabs>
      <w:ind w:left="576" w:hanging="576"/>
      <w:jc w:val="both"/>
    </w:pPr>
    <w:rPr>
      <w:rFonts w:ascii="Times New Roman" w:hAnsi="Times New Roman"/>
      <w:bCs/>
      <w:caps/>
      <w:smallCaps/>
      <w:szCs w:val="28"/>
      <w:u w:val="single"/>
    </w:rPr>
  </w:style>
  <w:style w:type="character" w:customStyle="1" w:styleId="StyleTitre2Latin12ptLatinGrasSoulignementPetitesCarCarCarCarCarCarCarCarCar">
    <w:name w:val="Style Titre 2 + (Latin) 12 pt (Latin) Gras Soulignement  Petites... Car Car Car Car Car Car Car Car Car"/>
    <w:link w:val="StyleTitre2Latin12ptLatinGrasSoulignementPetitesCarCarCarCarCarCarCarCar"/>
    <w:rsid w:val="00694219"/>
    <w:rPr>
      <w:rFonts w:ascii="Times New Roman" w:eastAsia="Arial Unicode MS" w:hAnsi="Times New Roman" w:cs="Courier New"/>
      <w:b/>
      <w:bCs/>
      <w:caps/>
      <w:smallCaps/>
      <w:szCs w:val="28"/>
      <w:u w:val="single"/>
      <w:lang w:eastAsia="fr-FR"/>
    </w:rPr>
  </w:style>
  <w:style w:type="numbering" w:customStyle="1" w:styleId="alex">
    <w:name w:val="alex"/>
    <w:basedOn w:val="Aucuneliste"/>
    <w:rsid w:val="00694219"/>
    <w:pPr>
      <w:numPr>
        <w:numId w:val="25"/>
      </w:numPr>
    </w:pPr>
  </w:style>
  <w:style w:type="character" w:customStyle="1" w:styleId="surligne">
    <w:name w:val="surligne"/>
    <w:rsid w:val="00694219"/>
  </w:style>
  <w:style w:type="paragraph" w:styleId="Normalcentr">
    <w:name w:val="Block Text"/>
    <w:basedOn w:val="Normal"/>
    <w:rsid w:val="00694219"/>
    <w:pPr>
      <w:tabs>
        <w:tab w:val="decimal" w:pos="9072"/>
      </w:tabs>
      <w:ind w:left="567" w:right="28"/>
      <w:jc w:val="both"/>
    </w:pPr>
  </w:style>
  <w:style w:type="paragraph" w:customStyle="1" w:styleId="Normalcentr1">
    <w:name w:val="Normal centré1"/>
    <w:basedOn w:val="Normal"/>
    <w:rsid w:val="00694219"/>
    <w:pPr>
      <w:spacing w:before="120"/>
      <w:ind w:left="1135" w:right="-568"/>
      <w:jc w:val="both"/>
    </w:pPr>
    <w:rPr>
      <w:sz w:val="20"/>
      <w:szCs w:val="20"/>
    </w:rPr>
  </w:style>
  <w:style w:type="paragraph" w:customStyle="1" w:styleId="Corpsdetexte21">
    <w:name w:val="Corps de texte 21"/>
    <w:basedOn w:val="Normal"/>
    <w:rsid w:val="00694219"/>
    <w:pPr>
      <w:spacing w:before="120"/>
      <w:ind w:right="411"/>
      <w:jc w:val="both"/>
    </w:pPr>
    <w:rPr>
      <w:sz w:val="20"/>
      <w:szCs w:val="20"/>
    </w:rPr>
  </w:style>
  <w:style w:type="paragraph" w:customStyle="1" w:styleId="Style4">
    <w:name w:val="Style4"/>
    <w:rsid w:val="00694219"/>
    <w:pPr>
      <w:autoSpaceDE w:val="0"/>
      <w:autoSpaceDN w:val="0"/>
      <w:adjustRightInd w:val="0"/>
    </w:pPr>
    <w:rPr>
      <w:rFonts w:ascii="Arial" w:eastAsia="Times New Roman" w:hAnsi="Arial"/>
      <w:sz w:val="24"/>
      <w:szCs w:val="24"/>
      <w:lang w:eastAsia="fr-FR"/>
    </w:rPr>
  </w:style>
  <w:style w:type="paragraph" w:customStyle="1" w:styleId="Style3">
    <w:name w:val="Style3"/>
    <w:rsid w:val="00694219"/>
    <w:pPr>
      <w:autoSpaceDE w:val="0"/>
      <w:autoSpaceDN w:val="0"/>
      <w:adjustRightInd w:val="0"/>
    </w:pPr>
    <w:rPr>
      <w:rFonts w:ascii="Arial" w:eastAsia="Times New Roman" w:hAnsi="Arial"/>
      <w:sz w:val="24"/>
      <w:szCs w:val="24"/>
      <w:lang w:eastAsia="fr-FR"/>
    </w:rPr>
  </w:style>
  <w:style w:type="paragraph" w:customStyle="1" w:styleId="Style0">
    <w:name w:val="Style0"/>
    <w:next w:val="Normal"/>
    <w:rsid w:val="00694219"/>
    <w:pPr>
      <w:autoSpaceDE w:val="0"/>
      <w:autoSpaceDN w:val="0"/>
      <w:adjustRightInd w:val="0"/>
    </w:pPr>
    <w:rPr>
      <w:rFonts w:ascii="Arial" w:eastAsia="Times New Roman" w:hAnsi="Arial"/>
      <w:sz w:val="24"/>
      <w:szCs w:val="24"/>
      <w:lang w:eastAsia="fr-FR"/>
    </w:rPr>
  </w:style>
  <w:style w:type="character" w:customStyle="1" w:styleId="CarCar">
    <w:name w:val="Car Car"/>
    <w:locked/>
    <w:rsid w:val="00694219"/>
    <w:rPr>
      <w:sz w:val="28"/>
      <w:szCs w:val="28"/>
      <w:lang w:val="fr-FR" w:eastAsia="fr-FR" w:bidi="ar-SA"/>
    </w:rPr>
  </w:style>
  <w:style w:type="paragraph" w:customStyle="1" w:styleId="paragrapheFM">
    <w:name w:val="paragraphe FM"/>
    <w:basedOn w:val="Normal"/>
    <w:rsid w:val="00694219"/>
    <w:pPr>
      <w:ind w:firstLine="1418"/>
      <w:jc w:val="both"/>
    </w:pPr>
    <w:rPr>
      <w:sz w:val="26"/>
      <w:szCs w:val="26"/>
    </w:rPr>
  </w:style>
  <w:style w:type="character" w:styleId="Lienhypertextesuivivisit">
    <w:name w:val="FollowedHyperlink"/>
    <w:rsid w:val="00694219"/>
    <w:rPr>
      <w:color w:val="800080"/>
      <w:u w:val="single"/>
    </w:rPr>
  </w:style>
  <w:style w:type="paragraph" w:customStyle="1" w:styleId="Retraitcorpsdetexte21">
    <w:name w:val="Retrait corps de texte 21"/>
    <w:basedOn w:val="Normal"/>
    <w:rsid w:val="00694219"/>
    <w:pPr>
      <w:ind w:left="567"/>
    </w:pPr>
    <w:rPr>
      <w:rFonts w:ascii="Helvetica" w:hAnsi="Helvetica" w:cs="Helvetica"/>
      <w:sz w:val="18"/>
      <w:szCs w:val="20"/>
    </w:rPr>
  </w:style>
  <w:style w:type="numbering" w:customStyle="1" w:styleId="Aucuneliste111">
    <w:name w:val="Aucune liste111"/>
    <w:next w:val="Aucuneliste"/>
    <w:semiHidden/>
    <w:rsid w:val="00694219"/>
  </w:style>
  <w:style w:type="paragraph" w:styleId="Rvision">
    <w:name w:val="Revision"/>
    <w:hidden/>
    <w:uiPriority w:val="99"/>
    <w:semiHidden/>
    <w:rsid w:val="00694219"/>
    <w:rPr>
      <w:rFonts w:ascii="New York" w:eastAsia="Times New Roman" w:hAnsi="New York"/>
      <w:sz w:val="24"/>
      <w:szCs w:val="24"/>
      <w:lang w:eastAsia="fr-FR"/>
    </w:rPr>
  </w:style>
  <w:style w:type="numbering" w:customStyle="1" w:styleId="Aucuneliste21">
    <w:name w:val="Aucune liste21"/>
    <w:next w:val="Aucuneliste"/>
    <w:semiHidden/>
    <w:rsid w:val="00694219"/>
  </w:style>
  <w:style w:type="table" w:customStyle="1" w:styleId="Grilledutableau11">
    <w:name w:val="Grille du tableau11"/>
    <w:basedOn w:val="TableauNormal"/>
    <w:next w:val="Grilledutableau"/>
    <w:rsid w:val="00694219"/>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694219"/>
    <w:rPr>
      <w:rFonts w:ascii="Times New Roman" w:eastAsia="Times New Roman" w:hAnsi="Times New Roman"/>
      <w:sz w:val="24"/>
      <w:szCs w:val="24"/>
      <w:lang w:eastAsia="fr-FR"/>
    </w:rPr>
  </w:style>
  <w:style w:type="paragraph" w:styleId="TM5">
    <w:name w:val="toc 5"/>
    <w:basedOn w:val="Normal"/>
    <w:next w:val="Normal"/>
    <w:autoRedefine/>
    <w:uiPriority w:val="39"/>
    <w:rsid w:val="00694219"/>
    <w:pPr>
      <w:ind w:left="720"/>
    </w:pPr>
    <w:rPr>
      <w:rFonts w:ascii="Calibri" w:hAnsi="Calibri" w:cs="Calibri"/>
      <w:sz w:val="20"/>
      <w:szCs w:val="20"/>
    </w:rPr>
  </w:style>
  <w:style w:type="paragraph" w:styleId="Sous-titre">
    <w:name w:val="Subtitle"/>
    <w:basedOn w:val="Normal"/>
    <w:next w:val="Normal"/>
    <w:link w:val="Sous-titreCar"/>
    <w:uiPriority w:val="11"/>
    <w:qFormat/>
    <w:rsid w:val="00694219"/>
    <w:pPr>
      <w:spacing w:after="60"/>
      <w:jc w:val="center"/>
      <w:outlineLvl w:val="1"/>
    </w:pPr>
    <w:rPr>
      <w:rFonts w:ascii="Trebuchet MS" w:hAnsi="Trebuchet MS"/>
      <w:b/>
      <w:iCs/>
      <w:spacing w:val="15"/>
      <w:sz w:val="20"/>
      <w:lang w:eastAsia="en-US"/>
    </w:rPr>
  </w:style>
  <w:style w:type="character" w:customStyle="1" w:styleId="Sous-titreCar1">
    <w:name w:val="Sous-titre Car1"/>
    <w:basedOn w:val="Policepardfaut"/>
    <w:rsid w:val="00694219"/>
    <w:rPr>
      <w:rFonts w:asciiTheme="majorHAnsi" w:eastAsiaTheme="majorEastAsia" w:hAnsiTheme="majorHAnsi" w:cstheme="majorBidi"/>
      <w:i/>
      <w:iCs/>
      <w:color w:val="4F81BD" w:themeColor="accent1"/>
      <w:spacing w:val="15"/>
      <w:sz w:val="24"/>
      <w:szCs w:val="24"/>
      <w:lang w:eastAsia="fr-FR"/>
    </w:rPr>
  </w:style>
  <w:style w:type="table" w:styleId="Trameclaire-Accent2">
    <w:name w:val="Light Shading Accent 2"/>
    <w:basedOn w:val="TableauNormal"/>
    <w:uiPriority w:val="60"/>
    <w:rsid w:val="00694219"/>
    <w:rPr>
      <w:rFonts w:ascii="Times New Roman" w:eastAsia="Times New Roman" w:hAnsi="Times New Roman"/>
      <w:color w:val="943634"/>
      <w:lang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Titre8Car1">
    <w:name w:val="Titre 8 Car1"/>
    <w:semiHidden/>
    <w:rsid w:val="00694219"/>
    <w:rPr>
      <w:rFonts w:ascii="Calibri" w:eastAsia="Times New Roman" w:hAnsi="Calibri" w:cs="Times New Roman"/>
      <w:i/>
      <w:iCs/>
      <w:sz w:val="24"/>
      <w:szCs w:val="24"/>
    </w:rPr>
  </w:style>
  <w:style w:type="character" w:customStyle="1" w:styleId="Titre9Car1">
    <w:name w:val="Titre 9 Car1"/>
    <w:semiHidden/>
    <w:rsid w:val="00694219"/>
    <w:rPr>
      <w:rFonts w:ascii="Cambria" w:eastAsia="Times New Roman" w:hAnsi="Cambria" w:cs="Times New Roman"/>
      <w:sz w:val="22"/>
      <w:szCs w:val="22"/>
    </w:rPr>
  </w:style>
  <w:style w:type="character" w:styleId="Emphaseple">
    <w:name w:val="Subtle Emphasis"/>
    <w:uiPriority w:val="19"/>
    <w:qFormat/>
    <w:rsid w:val="00694219"/>
    <w:rPr>
      <w:i/>
      <w:iCs/>
      <w:color w:val="808080"/>
    </w:rPr>
  </w:style>
  <w:style w:type="character" w:styleId="Emphaseintense">
    <w:name w:val="Intense Emphasis"/>
    <w:uiPriority w:val="21"/>
    <w:qFormat/>
    <w:rsid w:val="00694219"/>
    <w:rPr>
      <w:b/>
      <w:bCs/>
      <w:i/>
      <w:iCs/>
      <w:color w:val="4F81BD"/>
    </w:rPr>
  </w:style>
  <w:style w:type="paragraph" w:styleId="Citationintense">
    <w:name w:val="Intense Quote"/>
    <w:basedOn w:val="Normal"/>
    <w:next w:val="Normal"/>
    <w:link w:val="CitationintenseCar"/>
    <w:uiPriority w:val="30"/>
    <w:qFormat/>
    <w:rsid w:val="00694219"/>
    <w:pPr>
      <w:pBdr>
        <w:bottom w:val="single" w:sz="4" w:space="4" w:color="4F81BD"/>
      </w:pBdr>
      <w:spacing w:before="200" w:after="280"/>
      <w:ind w:left="936" w:right="936"/>
    </w:pPr>
    <w:rPr>
      <w:rFonts w:ascii="Trebuchet MS" w:eastAsiaTheme="minorHAnsi" w:hAnsi="Trebuchet MS" w:cs="Calibri"/>
      <w:b/>
      <w:bCs/>
      <w:i/>
      <w:color w:val="A5A8AA"/>
      <w:sz w:val="20"/>
      <w:szCs w:val="23"/>
      <w:lang w:eastAsia="en-US"/>
    </w:rPr>
  </w:style>
  <w:style w:type="character" w:customStyle="1" w:styleId="CitationintenseCar1">
    <w:name w:val="Citation intense Car1"/>
    <w:basedOn w:val="Policepardfaut"/>
    <w:uiPriority w:val="30"/>
    <w:rsid w:val="00694219"/>
    <w:rPr>
      <w:rFonts w:ascii="Times New Roman" w:eastAsia="Times New Roman" w:hAnsi="Times New Roman"/>
      <w:b/>
      <w:bCs/>
      <w:i/>
      <w:iCs/>
      <w:color w:val="4F81BD" w:themeColor="accent1"/>
      <w:sz w:val="24"/>
      <w:szCs w:val="24"/>
      <w:lang w:eastAsia="fr-FR"/>
    </w:rPr>
  </w:style>
  <w:style w:type="character" w:styleId="Rfrenceple">
    <w:name w:val="Subtle Reference"/>
    <w:uiPriority w:val="31"/>
    <w:qFormat/>
    <w:rsid w:val="00694219"/>
    <w:rPr>
      <w:smallCaps/>
      <w:color w:val="C0504D"/>
      <w:u w:val="single"/>
    </w:rPr>
  </w:style>
  <w:style w:type="character" w:styleId="Rfrenceintense">
    <w:name w:val="Intense Reference"/>
    <w:uiPriority w:val="32"/>
    <w:qFormat/>
    <w:rsid w:val="00694219"/>
    <w:rPr>
      <w:b/>
      <w:bCs/>
      <w:smallCaps/>
      <w:color w:val="C0504D"/>
      <w:spacing w:val="5"/>
      <w:u w:val="single"/>
    </w:rPr>
  </w:style>
  <w:style w:type="paragraph" w:customStyle="1" w:styleId="sous-titreannexe">
    <w:name w:val="sous-titre annexe"/>
    <w:basedOn w:val="Normal"/>
    <w:qFormat/>
    <w:rsid w:val="00694219"/>
    <w:pPr>
      <w:keepNext/>
      <w:shd w:val="clear" w:color="auto" w:fill="DFE0E1"/>
      <w:autoSpaceDE w:val="0"/>
      <w:autoSpaceDN w:val="0"/>
      <w:adjustRightInd w:val="0"/>
      <w:spacing w:before="200"/>
      <w:jc w:val="center"/>
      <w:outlineLvl w:val="1"/>
    </w:pPr>
    <w:rPr>
      <w:rFonts w:ascii="Trebuchet MS" w:hAnsi="Trebuchet MS"/>
      <w:b/>
      <w:bCs/>
      <w:iCs/>
      <w:smallCaps/>
      <w:color w:val="C00000"/>
      <w:sz w:val="28"/>
      <w:szCs w:val="28"/>
    </w:rPr>
  </w:style>
  <w:style w:type="paragraph" w:customStyle="1" w:styleId="sous-sous-titreannexe">
    <w:name w:val="sous-sous-titre annexe"/>
    <w:basedOn w:val="Normal"/>
    <w:qFormat/>
    <w:rsid w:val="00694219"/>
    <w:pPr>
      <w:autoSpaceDE w:val="0"/>
      <w:autoSpaceDN w:val="0"/>
      <w:adjustRightInd w:val="0"/>
      <w:spacing w:before="200"/>
      <w:jc w:val="center"/>
    </w:pPr>
    <w:rPr>
      <w:rFonts w:ascii="Trebuchet MS" w:hAnsi="Trebuchet MS"/>
      <w:b/>
      <w:iCs/>
      <w:caps/>
      <w:color w:val="C00000"/>
      <w:szCs w:val="23"/>
    </w:rPr>
  </w:style>
  <w:style w:type="paragraph" w:customStyle="1" w:styleId="StyleTITREPAGEDEGARDE26ptAvant138pt">
    <w:name w:val="Style TITRE PAGE DE GARDE + 26 pt Avant : 138 pt"/>
    <w:basedOn w:val="TITREPAGEDEGARDE"/>
    <w:rsid w:val="00694219"/>
    <w:pPr>
      <w:spacing w:before="2760"/>
    </w:pPr>
    <w:rPr>
      <w:rFonts w:eastAsia="Times New Roman" w:cs="Times New Roman"/>
      <w:iCs w:val="0"/>
      <w:sz w:val="52"/>
      <w:szCs w:val="20"/>
    </w:rPr>
  </w:style>
  <w:style w:type="paragraph" w:customStyle="1" w:styleId="Indexgris">
    <w:name w:val="Index gris"/>
    <w:basedOn w:val="Normal"/>
    <w:uiPriority w:val="99"/>
    <w:qFormat/>
    <w:rsid w:val="00D920DC"/>
    <w:pPr>
      <w:spacing w:after="120"/>
    </w:pPr>
    <w:rPr>
      <w:rFonts w:ascii="Trebuchet MS" w:eastAsia="Century Gothic" w:hAnsi="Trebuchet MS"/>
      <w:iCs/>
      <w:color w:val="595959"/>
      <w:sz w:val="16"/>
      <w:szCs w:val="20"/>
      <w:lang w:eastAsia="en-US"/>
    </w:rPr>
  </w:style>
  <w:style w:type="table" w:customStyle="1" w:styleId="Grilledutableau2">
    <w:name w:val="Grille du tableau2"/>
    <w:basedOn w:val="TableauNormal"/>
    <w:next w:val="Grilledutableau"/>
    <w:rsid w:val="00F17AC8"/>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Aucuneliste"/>
    <w:uiPriority w:val="99"/>
    <w:semiHidden/>
    <w:unhideWhenUsed/>
    <w:rsid w:val="00252013"/>
  </w:style>
  <w:style w:type="table" w:customStyle="1" w:styleId="Grilledutableau3">
    <w:name w:val="Grille du tableau3"/>
    <w:basedOn w:val="TableauNormal"/>
    <w:next w:val="Grilledutableau"/>
    <w:rsid w:val="00252013"/>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
    <w:name w:val="Aucune liste12"/>
    <w:next w:val="Aucuneliste"/>
    <w:semiHidden/>
    <w:rsid w:val="00252013"/>
  </w:style>
  <w:style w:type="numbering" w:customStyle="1" w:styleId="Annexe1">
    <w:name w:val="Annexe1"/>
    <w:rsid w:val="00252013"/>
  </w:style>
  <w:style w:type="numbering" w:customStyle="1" w:styleId="Aucuneliste22">
    <w:name w:val="Aucune liste22"/>
    <w:next w:val="Aucuneliste"/>
    <w:uiPriority w:val="99"/>
    <w:semiHidden/>
    <w:unhideWhenUsed/>
    <w:rsid w:val="00252013"/>
  </w:style>
  <w:style w:type="table" w:customStyle="1" w:styleId="Grilledutableau12">
    <w:name w:val="Grille du tableau12"/>
    <w:basedOn w:val="TableauNormal"/>
    <w:next w:val="Grilledutableau"/>
    <w:rsid w:val="002520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aubandesCSO11">
    <w:name w:val="Tableau à bandes CSO11"/>
    <w:basedOn w:val="TableauNormal"/>
    <w:next w:val="Trameclaire-Accent2"/>
    <w:uiPriority w:val="60"/>
    <w:rsid w:val="00252013"/>
    <w:pPr>
      <w:spacing w:before="60" w:after="60"/>
    </w:pPr>
    <w:rPr>
      <w:rFonts w:ascii="Trebuchet MS" w:eastAsia="Calibri" w:hAnsi="Trebuchet MS"/>
      <w:color w:val="E42618"/>
      <w:szCs w:val="22"/>
    </w:rPr>
    <w:tblPr>
      <w:tblStyleRowBandSize w:val="1"/>
      <w:tblStyleColBandSize w:val="1"/>
      <w:tblInd w:w="0" w:type="dxa"/>
      <w:tblBorders>
        <w:top w:val="single" w:sz="8" w:space="0" w:color="6C7073"/>
        <w:bottom w:val="single" w:sz="8" w:space="0" w:color="6C7073"/>
      </w:tblBorders>
      <w:tblCellMar>
        <w:top w:w="0" w:type="dxa"/>
        <w:left w:w="108" w:type="dxa"/>
        <w:bottom w:w="0" w:type="dxa"/>
        <w:right w:w="108" w:type="dxa"/>
      </w:tblCellMar>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
    <w:name w:val="Numéroration1"/>
    <w:uiPriority w:val="99"/>
    <w:rsid w:val="00252013"/>
  </w:style>
  <w:style w:type="numbering" w:customStyle="1" w:styleId="Aucuneliste112">
    <w:name w:val="Aucune liste112"/>
    <w:next w:val="Aucuneliste"/>
    <w:semiHidden/>
    <w:rsid w:val="00252013"/>
  </w:style>
  <w:style w:type="numbering" w:customStyle="1" w:styleId="alex1">
    <w:name w:val="alex1"/>
    <w:basedOn w:val="Aucuneliste"/>
    <w:rsid w:val="00252013"/>
  </w:style>
  <w:style w:type="numbering" w:customStyle="1" w:styleId="Aucuneliste1111">
    <w:name w:val="Aucune liste1111"/>
    <w:next w:val="Aucuneliste"/>
    <w:semiHidden/>
    <w:rsid w:val="00252013"/>
  </w:style>
  <w:style w:type="numbering" w:customStyle="1" w:styleId="Aucuneliste211">
    <w:name w:val="Aucune liste211"/>
    <w:next w:val="Aucuneliste"/>
    <w:semiHidden/>
    <w:rsid w:val="00252013"/>
  </w:style>
  <w:style w:type="table" w:customStyle="1" w:styleId="Grilledutableau111">
    <w:name w:val="Grille du tableau111"/>
    <w:basedOn w:val="TableauNormal"/>
    <w:next w:val="Grilledutableau"/>
    <w:rsid w:val="00252013"/>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ameclaire-Accent21">
    <w:name w:val="Trame claire - Accent 21"/>
    <w:basedOn w:val="TableauNormal"/>
    <w:next w:val="Trameclaire-Accent2"/>
    <w:uiPriority w:val="60"/>
    <w:rsid w:val="00252013"/>
    <w:rPr>
      <w:rFonts w:ascii="Times New Roman" w:eastAsia="Times New Roman" w:hAnsi="Times New Roman"/>
      <w:color w:val="943634"/>
      <w:lang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enum">
    <w:name w:val="enum"/>
    <w:link w:val="enumCar"/>
    <w:uiPriority w:val="3"/>
    <w:qFormat/>
    <w:rsid w:val="00007B91"/>
    <w:pPr>
      <w:keepNext/>
      <w:numPr>
        <w:numId w:val="174"/>
      </w:numPr>
      <w:spacing w:before="200" w:after="60"/>
      <w:jc w:val="both"/>
      <w:outlineLvl w:val="6"/>
    </w:pPr>
    <w:rPr>
      <w:rFonts w:ascii="Trebuchet MS" w:eastAsia="Calibri" w:hAnsi="Trebuchet MS"/>
      <w:iCs/>
      <w:color w:val="000000"/>
      <w:szCs w:val="23"/>
      <w:lang w:eastAsia="fr-FR"/>
    </w:rPr>
  </w:style>
  <w:style w:type="character" w:customStyle="1" w:styleId="enumCar">
    <w:name w:val="enum Car"/>
    <w:link w:val="enum"/>
    <w:uiPriority w:val="3"/>
    <w:rsid w:val="00007B91"/>
    <w:rPr>
      <w:rFonts w:ascii="Trebuchet MS" w:eastAsia="Calibri" w:hAnsi="Trebuchet MS"/>
      <w:iCs/>
      <w:color w:val="000000"/>
      <w:szCs w:val="23"/>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150228">
      <w:bodyDiv w:val="1"/>
      <w:marLeft w:val="0"/>
      <w:marRight w:val="0"/>
      <w:marTop w:val="0"/>
      <w:marBottom w:val="0"/>
      <w:divBdr>
        <w:top w:val="none" w:sz="0" w:space="0" w:color="auto"/>
        <w:left w:val="none" w:sz="0" w:space="0" w:color="auto"/>
        <w:bottom w:val="none" w:sz="0" w:space="0" w:color="auto"/>
        <w:right w:val="none" w:sz="0" w:space="0" w:color="auto"/>
      </w:divBdr>
    </w:div>
    <w:div w:id="1331983749">
      <w:bodyDiv w:val="1"/>
      <w:marLeft w:val="0"/>
      <w:marRight w:val="0"/>
      <w:marTop w:val="0"/>
      <w:marBottom w:val="0"/>
      <w:divBdr>
        <w:top w:val="none" w:sz="0" w:space="0" w:color="auto"/>
        <w:left w:val="none" w:sz="0" w:space="0" w:color="auto"/>
        <w:bottom w:val="none" w:sz="0" w:space="0" w:color="auto"/>
        <w:right w:val="none" w:sz="0" w:space="0" w:color="auto"/>
      </w:divBdr>
    </w:div>
    <w:div w:id="1770540271">
      <w:bodyDiv w:val="1"/>
      <w:marLeft w:val="0"/>
      <w:marRight w:val="0"/>
      <w:marTop w:val="0"/>
      <w:marBottom w:val="0"/>
      <w:divBdr>
        <w:top w:val="none" w:sz="0" w:space="0" w:color="auto"/>
        <w:left w:val="none" w:sz="0" w:space="0" w:color="auto"/>
        <w:bottom w:val="none" w:sz="0" w:space="0" w:color="auto"/>
        <w:right w:val="none" w:sz="0" w:space="0" w:color="auto"/>
      </w:divBdr>
    </w:div>
    <w:div w:id="207488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53D9C-186D-4764-BAB4-8FE1CBE58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8898</Words>
  <Characters>48943</Characters>
  <Application>Microsoft Office Word</Application>
  <DocSecurity>0</DocSecurity>
  <Lines>407</Lines>
  <Paragraphs>115</Paragraphs>
  <ScaleCrop>false</ScaleCrop>
  <HeadingPairs>
    <vt:vector size="2" baseType="variant">
      <vt:variant>
        <vt:lpstr>Titre</vt:lpstr>
      </vt:variant>
      <vt:variant>
        <vt:i4>1</vt:i4>
      </vt:variant>
    </vt:vector>
  </HeadingPairs>
  <TitlesOfParts>
    <vt:vector size="1" baseType="lpstr">
      <vt:lpstr/>
    </vt:vector>
  </TitlesOfParts>
  <Company>CSOEC</Company>
  <LinksUpToDate>false</LinksUpToDate>
  <CharactersWithSpaces>57726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Anaïs Chény</dc:creator>
  <cp:lastModifiedBy>BERTRAND Isabelle</cp:lastModifiedBy>
  <cp:revision>4</cp:revision>
  <cp:lastPrinted>2014-11-07T14:21:00Z</cp:lastPrinted>
  <dcterms:created xsi:type="dcterms:W3CDTF">2014-11-14T13:32:00Z</dcterms:created>
  <dcterms:modified xsi:type="dcterms:W3CDTF">2016-05-02T13:11:00Z</dcterms:modified>
</cp:coreProperties>
</file>